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540-6k_tokyo.htm"/>
      <w:bookmarkStart w:id="1" w:name="ksea02975406k_toky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001-41181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Tokyo Lifestyle Co.,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Harumi Building, 2-5-9 Kotobashi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Sumida-ku, Tokyo, 130-0022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625"/>
        <w:gridCol w:w="590"/>
        <w:gridCol w:w="3005"/>
      </w:tblGrid>
      <w:tr>
        <w:trPr/>
        <w:tc>
          <w:tcPr>
            <w:tcW w:w="162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3595" w:type="dxa"/>
            <w:gridSpan w:val="2"/>
            <w:tcBorders/>
            <w:shd w:fill="FEFEFE"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tc>
      </w:tr>
      <w:tr>
        <w:trPr/>
        <w:tc>
          <w:tcPr>
            <w:tcW w:w="162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tc>
        <w:tc>
          <w:tcPr>
            <w:tcW w:w="590"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12" w:space="0" w:color="000000"/>
            </w:tcBorders>
            <w:shd w:fill="FEFEFE"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Mei Kanayama</w:t>
            </w:r>
          </w:p>
        </w:tc>
      </w:tr>
      <w:tr>
        <w:trPr/>
        <w:tc>
          <w:tcPr>
            <w:tcW w:w="162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05"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 Kanayama</w:t>
            </w:r>
          </w:p>
        </w:tc>
      </w:tr>
      <w:tr>
        <w:trPr/>
        <w:tc>
          <w:tcPr>
            <w:tcW w:w="162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Director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685" w:type="dxa"/>
        <w:jc w:val="left"/>
        <w:tblInd w:w="0" w:type="dxa"/>
        <w:tblLayout w:type="fixed"/>
        <w:tblCellMar>
          <w:top w:w="0" w:type="dxa"/>
          <w:left w:w="0" w:type="dxa"/>
          <w:bottom w:w="28" w:type="dxa"/>
          <w:right w:w="0" w:type="dxa"/>
        </w:tblCellMar>
      </w:tblPr>
      <w:tblGrid>
        <w:gridCol w:w="995"/>
        <w:gridCol w:w="60"/>
        <w:gridCol w:w="863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30" w:type="dxa"/>
            <w:tcBorders/>
            <w:shd w:fill="CCEEFF" w:val="clear"/>
            <w:tcMar>
              <w:bottom w:w="0" w:type="dxa"/>
            </w:tcMar>
            <w:vAlign w:val="center"/>
          </w:tcPr>
          <w:p>
            <w:pPr>
              <w:pStyle w:val="TableContents"/>
              <w:bidi w:val="0"/>
              <w:spacing w:before="0" w:after="283"/>
              <w:jc w:val="both"/>
              <w:rPr/>
            </w:pPr>
            <w:hyperlink w:anchor="ea029754001ex99-1.htm">
              <w:r>
                <w:rPr>
                  <w:rStyle w:val="InternetLink"/>
                  <w:rFonts w:ascii="Times New Roman;Times;Serif" w:hAnsi="Times New Roman;Times;Serif"/>
                  <w:b w:val="false"/>
                  <w:i w:val="false"/>
                  <w:caps w:val="false"/>
                  <w:smallCaps w:val="false"/>
                  <w:sz w:val="20"/>
                </w:rPr>
                <w:t>Press Release dated July 10, 2026, “Tokyo Lifestyle Co., Ltd. Reports Fiscal Year 2026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54001ex99-1.htm"/>
      <w:bookmarkStart w:id="3" w:name="ksea029754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 Reports Fiscal Year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Japan, July 10, 2026 /PRNewswire/ -- Tokyo Lifestyle Co., Ltd. (“Tokyo Lifestyle” or the “Company”) (Nasdaq: TKLF), a retailer and wholesaler of Japanese beauty and health products, sundry products, luxury products, electronic products, collectible cards, trendy toys as well as other products in Hong Kong, Japan, North America, Thailand, Vietnam, the United Kingdom and Australia, today announced its financial results for the fiscal year ended March 31, 2026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Mei Kanayama, Principal Executive Officer of Tokyo Lifestyle, commented: “Fiscal year 2026 was a year of strong execution across our business, resulting in robust revenue growth driven by continued expansion of our directly-operated stores, franchise network, and wholesale operations, all of which achieved double-digit growth. We believe that these results demonstrate the effectiveness of our strategy to diversify our product portfolio, broaden our customer base, and accelerate our global market expansion. Tokyo Lifestyle is evolving beyond a traditional retailer into a diversified consumer lifestyle platform with complementary retail, franchise, wholesale, and luxury goods businesses, pursuing multiple drivers for sustainable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part of this transformation, we continued to advance our asset-light growth strategy by accelerating the expansion of our franchise and wholesale businesses, particularly in the high-end merchandise segment. While these businesses generally carry lower gross margins than our directly-operated retail operations, they require significantly less capital investment and operating expenses, enabling faster, more efficient scaling. Accordingly, the changes in our revenue mix should be viewed as a deliberate optimization of our business model designed to enhance long-term returns, rather than a reflection of weaker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key highlight was the outstanding performance of our luxury goods business, which quickly emerged as a meaningful growth driver. At the same time, continued expansion of our wholesale customer base and broader distribution network strengthened market reach, diversified our revenue streams, and enhanced the resilience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total assets increased by 48% during fiscal year 2026 while we remained profitable for the third consecutive year, reflecting our continued business expansion and growing market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continued strengthening our international platform by expanding our international presence. During the year, we opened new stores in Hong Kong and Australia, expanded strategic partnerships, and continued investing in local talent and performance-based incentive programs. These initiatives further strengthen our organizational capabilities to support continued global expansion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we continued optimizing our omnichannel retail network by converting selected underperforming directly-operated stores into franchise locations operated by experienced local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focused on executing our long-term growth strategy through continued customer acquisition, broader global brand recognition, an increasingly diversified product portfolio, and deeper customer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Youichiro Haga, Principal Accounting and Financial Officer of Tokyo Lifestyle, remarked: “We are pleased to report a 77.6% year-over-year increase in revenue, and more importantly, this strong growth was achieved along with disciplined cost management. Although we continued investing in marketing, brand development, and global expansion initiatives, operating expenses grew at a significantly slower pace than revenue -- 29.6% versus 77.6% -- reducing operating expenses as a percentage of revenue from 9.1% to 6.7%. This demonstrates the scalability of our operating model and our ability to generate increasing operating leverage as the business expands.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Specifically, during the fiscal year, revenue from our directly-operated physical stores increased by 15.7%, demonstrating the resilience of our core retail business, while franchise and wholesale revenue grew by 86.9%, driven primarily by more than 320% growth in our luxury goods business and the addition of 68 new wholesale customers. This balanced growth across both retail and asset-light channels underscores the increasing diversification and scalability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Accounts receivable increased by 74.1% year over year, broadly in line with our revenue growth. This primarily reflects the rapid expansion of our wholesale and franchise businesses, together with the continued growth of our international distribution network. Although higher accounts receivable and increased working capital requirements temporarily affected cash balances and operating cash flow, we view these changes as a natural consequence of the continued rapid growth rather than a deterioration in earnings quality or financial fundamentals.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Beyond revenue growth, we delivered meaningful improvements in profitability. Gross profit from directly-operated physical stores and online business each increased by over 20%, supported by improved gross margins resulting from a more optimized product mix and disciplined inventory management. Gross profit from franchise and wholesale business also increased by 15.5%. While this segment carries a comparatively lower gross margin, it requires significantly lower operating costs and capital investment, further enhancing the efficiency, scalability, and returns of our overall business model. As a result of the changes in our business structure, particularly the increased proportion of wholesale and luxury goods, our gross profit increased by 17.5% with a moderate decline in gross margin. Despite a limited short-term impact on operating profit, we believe the existing strategy will improve capital efficiency, accelerate market expansion, strengthen our digital capabilities, and further enhance the flexibility and scalability of our business model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international expansion also continued to gain momentum, with overseas sales accounting for 47.1% of total revenue. This was supported by increasing contributions from Hong Kong and other overseas markets, along with continued expansion of our global retail footprint. We believe our growing international presence will further strengthen brand recognition, diversify revenue base, and create additional long-term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Overall, fiscal year 2026 results demonstrate the resilience, scalability, and financial quality of our business model. While reported net income and earnings per share declined year over year, this was primarily attributable to tax-related factors rather than changes in our underlying operating performance. Excluding these items, our core business continued to deliver solid operating performance, supported by strong revenue growth, healthy customer demand, and disciplined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macroeconomic conditions continue to improve with recovering consumer demand across our key markets, we remain confident in our ability to generate sustainable, profitable growth through disciplined capital allocation, prudent financial management, and continued operational excellence.”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2026 Financial Summary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$373.2 million for fiscal year 2026, which increased by 77.6% from $210.1 million for the fiscal year ended March 31, 2025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$28.1 million for fiscal year 2026, which increased by 17.5% from $23.9 million for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was $3.2 million for fiscal year 2026, compared to $4.7 million for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decreased to $0.7 million for fiscal year 2026, compared to $6.6 million for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increased to $6.1 million for fiscal year 2026, from net cash used in investing activities of $1.0 million for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was $0.02 for fiscal year 2026. Diluted earnings per share was $0.02 for fiscal year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77.6%, to $373.2 million for fiscal year 2026, from $210.1 million for fiscal year 2025. The increase in the Company’s revenue consisted of increased revenue from directly-operated physical stores and franchise stores and wholesale customers, which was partially offset by the decreased revenue from online stores and services. Revenue generated from companies located in Japan accounted for 52.9% and 70.5% of the Company’s total revenue for fiscal years 2026 and 2025, respectively. Revenue generated from companies located in Hong Kong and others accounted for 47.1% and 29.5% of the Company’s total revenue for fiscal years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10155" w:type="dxa"/>
        <w:jc w:val="left"/>
        <w:tblInd w:w="0" w:type="dxa"/>
        <w:tblLayout w:type="fixed"/>
        <w:tblCellMar>
          <w:top w:w="0" w:type="dxa"/>
          <w:left w:w="0" w:type="dxa"/>
          <w:bottom w:w="0" w:type="dxa"/>
          <w:right w:w="0" w:type="dxa"/>
        </w:tblCellMar>
      </w:tblPr>
      <w:tblGrid>
        <w:gridCol w:w="3965"/>
        <w:gridCol w:w="60"/>
        <w:gridCol w:w="171"/>
        <w:gridCol w:w="686"/>
        <w:gridCol w:w="73"/>
        <w:gridCol w:w="73"/>
        <w:gridCol w:w="73"/>
        <w:gridCol w:w="686"/>
        <w:gridCol w:w="318"/>
        <w:gridCol w:w="73"/>
        <w:gridCol w:w="171"/>
        <w:gridCol w:w="686"/>
        <w:gridCol w:w="73"/>
        <w:gridCol w:w="73"/>
        <w:gridCol w:w="73"/>
        <w:gridCol w:w="686"/>
        <w:gridCol w:w="260"/>
        <w:gridCol w:w="60"/>
        <w:gridCol w:w="172"/>
        <w:gridCol w:w="688"/>
        <w:gridCol w:w="95"/>
        <w:gridCol w:w="60"/>
        <w:gridCol w:w="60"/>
        <w:gridCol w:w="515"/>
        <w:gridCol w:w="30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305" w:type="dxa"/>
            <w:tcBorders/>
            <w:vAlign w:val="center"/>
          </w:tcPr>
          <w:p>
            <w:pPr>
              <w:pStyle w:val="TableContents"/>
              <w:bidi w:val="0"/>
              <w:spacing w:before="0" w:after="283"/>
              <w:jc w:val="left"/>
              <w:rPr/>
            </w:pPr>
            <w:r>
              <w:rPr/>
              <w:t> </w:t>
            </w:r>
          </w:p>
        </w:tc>
      </w:tr>
      <w:tr>
        <w:trPr/>
        <w:tc>
          <w:tcPr>
            <w:tcW w:w="3965" w:type="dxa"/>
            <w:tcBorders>
              <w:bottom w:val="single" w:sz="12" w:space="0" w:color="000000"/>
            </w:tcBorders>
            <w:tcMar>
              <w:bottom w:w="28" w:type="dxa"/>
            </w:tcMar>
            <w:vAlign w:val="center"/>
          </w:tcPr>
          <w:p>
            <w:pPr>
              <w:pStyle w:val="TableContents"/>
              <w:bidi w:val="0"/>
              <w:spacing w:before="0" w:after="283"/>
              <w:jc w:val="left"/>
              <w:rPr>
                <w:b/>
                <w:i/>
              </w:rPr>
            </w:pPr>
            <w:r>
              <w:rPr>
                <w:b/>
                <w:i/>
              </w:rPr>
              <w:t>(in millions)</w:t>
            </w:r>
          </w:p>
        </w:tc>
        <w:tc>
          <w:tcPr>
            <w:tcW w:w="60"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1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ind w:left="0" w:right="0" w:hanging="180"/>
              <w:jc w:val="left"/>
              <w:rPr/>
            </w:pPr>
            <w:r>
              <w:rPr/>
              <w:t> </w:t>
            </w:r>
          </w:p>
        </w:tc>
      </w:tr>
      <w:tr>
        <w:trPr/>
        <w:tc>
          <w:tcPr>
            <w:tcW w:w="3965" w:type="dxa"/>
            <w:tcBorders/>
            <w:shd w:fill="CCEEFF" w:val="clear"/>
            <w:vAlign w:val="center"/>
          </w:tcPr>
          <w:p>
            <w:pPr>
              <w:pStyle w:val="TableContents"/>
              <w:bidi w:val="0"/>
              <w:spacing w:before="0" w:after="283"/>
              <w:jc w:val="left"/>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19.8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5.3</w:t>
            </w:r>
          </w:p>
        </w:tc>
        <w:tc>
          <w:tcPr>
            <w:tcW w:w="318"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17.1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15.7</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left"/>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6.7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1.8</w:t>
            </w:r>
          </w:p>
        </w:tc>
        <w:tc>
          <w:tcPr>
            <w:tcW w:w="318"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7.5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(10.7</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965" w:type="dxa"/>
            <w:tcBorders/>
            <w:shd w:fill="CCEEFF" w:val="clear"/>
            <w:vAlign w:val="center"/>
          </w:tcPr>
          <w:p>
            <w:pPr>
              <w:pStyle w:val="TableContents"/>
              <w:bidi w:val="0"/>
              <w:spacing w:before="0" w:after="283"/>
              <w:jc w:val="left"/>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center"/>
          </w:tcPr>
          <w:p>
            <w:pPr>
              <w:pStyle w:val="TableContents"/>
              <w:bidi w:val="0"/>
              <w:spacing w:before="0" w:after="283"/>
              <w:jc w:val="right"/>
              <w:rPr/>
            </w:pPr>
            <w:r>
              <w:rPr/>
              <w:t>346.7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318"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center"/>
          </w:tcPr>
          <w:p>
            <w:pPr>
              <w:pStyle w:val="TableContents"/>
              <w:bidi w:val="0"/>
              <w:spacing w:before="0" w:after="283"/>
              <w:jc w:val="right"/>
              <w:rPr/>
            </w:pPr>
            <w:r>
              <w:rPr/>
              <w:t>185.5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161.2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965"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373.2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318"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210.1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77.6</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denominated in Japanese Yen increased by 75.7%, to ¥56,134.8 million for fiscal year 2026, from ¥31,952.8 million for fiscal year 2025. The increase was mainly due to increased revenue from franchise stores and wholesale customers by 84.9%, to ¥52,170.1 million for fiscal year 2026, from ¥28,215.6 million for fiscal year 2025, as well as increased revenue from directly-operated physical stores by 14.2%, to ¥2,965.5 million for fiscal year 2026, from ¥2,597.6 million for fiscal year 2025. The increase was partially offset by the decreased revenue from online stores and services by 12.3%, to ¥999.3 million for fiscal year 2026, from ¥1,139.6 million for fiscal year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4"/>
        <w:gridCol w:w="60"/>
        <w:gridCol w:w="143"/>
        <w:gridCol w:w="886"/>
        <w:gridCol w:w="60"/>
        <w:gridCol w:w="60"/>
        <w:gridCol w:w="60"/>
        <w:gridCol w:w="576"/>
        <w:gridCol w:w="267"/>
        <w:gridCol w:w="60"/>
        <w:gridCol w:w="143"/>
        <w:gridCol w:w="886"/>
        <w:gridCol w:w="60"/>
        <w:gridCol w:w="60"/>
        <w:gridCol w:w="60"/>
        <w:gridCol w:w="576"/>
        <w:gridCol w:w="260"/>
        <w:gridCol w:w="60"/>
        <w:gridCol w:w="140"/>
        <w:gridCol w:w="860"/>
        <w:gridCol w:w="95"/>
        <w:gridCol w:w="60"/>
        <w:gridCol w:w="60"/>
        <w:gridCol w:w="515"/>
        <w:gridCol w:w="314"/>
      </w:tblGrid>
      <w:tr>
        <w:trPr/>
        <w:tc>
          <w:tcPr>
            <w:tcW w:w="38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9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314" w:type="dxa"/>
            <w:tcBorders/>
            <w:vAlign w:val="center"/>
          </w:tcPr>
          <w:p>
            <w:pPr>
              <w:pStyle w:val="TableContents"/>
              <w:bidi w:val="0"/>
              <w:spacing w:before="0" w:after="283"/>
              <w:jc w:val="left"/>
              <w:rPr/>
            </w:pPr>
            <w:r>
              <w:rPr/>
              <w:t> </w:t>
            </w:r>
          </w:p>
        </w:tc>
      </w:tr>
      <w:tr>
        <w:trPr/>
        <w:tc>
          <w:tcPr>
            <w:tcW w:w="3884" w:type="dxa"/>
            <w:tcBorders>
              <w:bottom w:val="single" w:sz="12" w:space="0" w:color="000000"/>
            </w:tcBorders>
            <w:tcMar>
              <w:bottom w:w="28" w:type="dxa"/>
            </w:tcMar>
            <w:vAlign w:val="center"/>
          </w:tcPr>
          <w:p>
            <w:pPr>
              <w:pStyle w:val="TableContents"/>
              <w:bidi w:val="0"/>
              <w:spacing w:before="0" w:after="283"/>
              <w:jc w:val="left"/>
              <w:rPr>
                <w:b/>
                <w:i/>
              </w:rPr>
            </w:pPr>
            <w:r>
              <w:rPr>
                <w:b/>
                <w:i/>
              </w:rPr>
              <w:t>(in millions)</w:t>
            </w:r>
          </w:p>
        </w:tc>
        <w:tc>
          <w:tcPr>
            <w:tcW w:w="60" w:type="dxa"/>
            <w:tcBorders/>
            <w:vAlign w:val="center"/>
          </w:tcPr>
          <w:p>
            <w:pPr>
              <w:pStyle w:val="TableContents"/>
              <w:bidi w:val="0"/>
              <w:spacing w:before="0" w:after="283"/>
              <w:jc w:val="left"/>
              <w:rPr/>
            </w:pPr>
            <w:r>
              <w:rPr/>
              <w:t> </w:t>
            </w:r>
          </w:p>
        </w:tc>
        <w:tc>
          <w:tcPr>
            <w:tcW w:w="1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14" w:type="dxa"/>
            <w:tcBorders/>
            <w:vAlign w:val="center"/>
          </w:tcPr>
          <w:p>
            <w:pPr>
              <w:pStyle w:val="TableContents"/>
              <w:bidi w:val="0"/>
              <w:spacing w:before="0" w:after="283"/>
              <w:ind w:left="0" w:right="0" w:hanging="180"/>
              <w:jc w:val="left"/>
              <w:rPr/>
            </w:pPr>
            <w:r>
              <w:rPr/>
              <w:t> </w:t>
            </w:r>
          </w:p>
        </w:tc>
      </w:tr>
      <w:tr>
        <w:trPr/>
        <w:tc>
          <w:tcPr>
            <w:tcW w:w="3884" w:type="dxa"/>
            <w:tcBorders/>
            <w:shd w:fill="CCEEFF" w:val="clear"/>
            <w:vAlign w:val="center"/>
          </w:tcPr>
          <w:p>
            <w:pPr>
              <w:pStyle w:val="TableContents"/>
              <w:bidi w:val="0"/>
              <w:spacing w:before="0" w:after="283"/>
              <w:jc w:val="left"/>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2,965.5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5.3</w:t>
            </w:r>
          </w:p>
        </w:tc>
        <w:tc>
          <w:tcPr>
            <w:tcW w:w="26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2,597.6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14.2</w:t>
            </w:r>
          </w:p>
        </w:tc>
        <w:tc>
          <w:tcPr>
            <w:tcW w:w="314" w:type="dxa"/>
            <w:tcBorders/>
            <w:shd w:fill="CCEEFF" w:val="clear"/>
            <w:vAlign w:val="center"/>
          </w:tcPr>
          <w:p>
            <w:pPr>
              <w:pStyle w:val="TableContents"/>
              <w:bidi w:val="0"/>
              <w:spacing w:before="0" w:after="283"/>
              <w:ind w:left="0" w:right="0" w:hanging="180"/>
              <w:jc w:val="left"/>
              <w:rPr/>
            </w:pPr>
            <w:r>
              <w:rPr/>
              <w:t>%</w:t>
            </w:r>
          </w:p>
        </w:tc>
      </w:tr>
      <w:tr>
        <w:trPr/>
        <w:tc>
          <w:tcPr>
            <w:tcW w:w="3884"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999.3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1.8</w:t>
            </w:r>
          </w:p>
        </w:tc>
        <w:tc>
          <w:tcPr>
            <w:tcW w:w="26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1,139.6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(140.3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(12.3</w:t>
            </w:r>
          </w:p>
        </w:tc>
        <w:tc>
          <w:tcPr>
            <w:tcW w:w="314" w:type="dxa"/>
            <w:tcBorders/>
            <w:shd w:fill="FFFFFF" w:val="clear"/>
            <w:vAlign w:val="center"/>
          </w:tcPr>
          <w:p>
            <w:pPr>
              <w:pStyle w:val="TableContents"/>
              <w:bidi w:val="0"/>
              <w:spacing w:before="0" w:after="283"/>
              <w:ind w:left="0" w:right="0" w:hanging="180"/>
              <w:jc w:val="left"/>
              <w:rPr/>
            </w:pPr>
            <w:r>
              <w:rPr/>
              <w:t>)%</w:t>
            </w:r>
          </w:p>
        </w:tc>
      </w:tr>
      <w:tr>
        <w:trPr/>
        <w:tc>
          <w:tcPr>
            <w:tcW w:w="3884" w:type="dxa"/>
            <w:tcBorders/>
            <w:shd w:fill="CCEEFF" w:val="clear"/>
            <w:vAlign w:val="center"/>
          </w:tcPr>
          <w:p>
            <w:pPr>
              <w:pStyle w:val="TableContents"/>
              <w:bidi w:val="0"/>
              <w:spacing w:before="0" w:after="283"/>
              <w:jc w:val="left"/>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pPr>
            <w:r>
              <w:rPr/>
              <w:t>52,170.1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26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pPr>
            <w:r>
              <w:rPr/>
              <w:t>28,215.6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23,954.5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314" w:type="dxa"/>
            <w:tcBorders/>
            <w:shd w:fill="CCEEFF" w:val="clear"/>
            <w:vAlign w:val="center"/>
          </w:tcPr>
          <w:p>
            <w:pPr>
              <w:pStyle w:val="TableContents"/>
              <w:bidi w:val="0"/>
              <w:spacing w:before="0" w:after="283"/>
              <w:ind w:left="0" w:right="0" w:hanging="180"/>
              <w:jc w:val="left"/>
              <w:rPr/>
            </w:pPr>
            <w:r>
              <w:rPr/>
              <w:t>%</w:t>
            </w:r>
          </w:p>
        </w:tc>
      </w:tr>
      <w:tr>
        <w:trPr/>
        <w:tc>
          <w:tcPr>
            <w:tcW w:w="3884"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7"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31,952.8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24,182.0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w:t>
            </w:r>
          </w:p>
        </w:tc>
        <w:tc>
          <w:tcPr>
            <w:tcW w:w="314"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Amounts may not sum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directly-operated physical stores increased by 15.7%, to $19.8 million for fiscal year 2026, from $17.1 million for fiscal year 2025. The increase was mainly due to increased revenue generated from the Company’s existing directly-operated physical stores in Hong Kong as a result of their full-year operations, as well as the opening of two new physical stores in Hong Kong during fiscal year 2026. In addition, the Company offered promotion activities and price discounts, which attracted more customers to make purchases at the Company’s physical stores, and revenue from the Company’s existing physical stores in Hong Kong also increased in fiscal year 2026, compared to the prior year. The above-mentioned increase was partially offset by a decrease in revenue from directly-operated physical stores in Japan, resulting from the closure of one physical store and the transformation of another physical store during fiscal year 2026. The Company proactively optimized its store structure and converted this underperforming physical store in Japan into a franchise store, in order to improve the Company’s cash flow and working capital. Following the change, the store began purchasing products from the Company like other franchise stores, and accordingly, the related revenue was recorded under franchise stores and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online stores and services decreased by 10.7%, to $6.7 million for fiscal year 2026, from $7.5 million for fiscal year 2025. The decrease was mainly due to a reduction in the number of online stores, as the Company closed certain underperforming online stores to improve the Company’s profitability. The decrease was partially offset by an increase in revenue from services, which resulted from new customers that the Company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franchise stores and wholesale customers increased by 86.9%, to $346.7 million for fiscal year 2026, from $185.5 million for fiscal year 2025. The increase was mainly due to the substantial growth in revenue from sales of luxury products. During fiscal year 2026, the Company successfully achieved a strategic expansion that more than doubled revenue from franchise stores and wholesale customers and meaningfully expanded the Company’s market share. This deliberate strategy strengthens the Company’s wholesale platform and supplier relationships. In addition, there was increased revenue from the new wholesale customers as the Company continued to expand the Company’s customer base by entering into business relationships with new wholesale customers during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 increased by 85.3%, to $345.1 million for fiscal year 2026, from $186.2 million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17.5%, to $28.1 million for fiscal year 2026, from $23.9 million for fiscal year 2025. The increase was mainly attributable to the overall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decreased by 3.9 percentage points to 7.5% for fiscal year 2026, from 11.4% for fiscal year 2025. The decrease in overall gross margin was primarily attributable to shifts in the Company’s revenue mix, as revenue from franchise stores and wholesale customers, which carry relatively lower gross margins, accounted for a significantly larger proportion of total revenue during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consist of selling and marketing expenses and general and administrative expenses, which primarily include payroll, employee benefit expenses and bonus expenses, shipping expenses, promotion and advertising expenses, and other facility-related costs, such as store rent, utilities,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by 29.6%, to $24.9 million for fiscal year 2026, from $19.2 million for fiscal year 2025. Operating expenses as a percentage of total revenue improved to 6.7% for fiscal year 2026 from 9.1% for fiscal year 2025. This 2.4 percentage points decline reflects early operating leverage across the Company’s business, as the Company’s revenue scaled faster than the Company’s operating cost base. The increase in operating expenses was primarily attributable to the following factors: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other expenses by 46.4%, to $8.4 million for fiscal year 2026, from $5.7 million for fiscal year 2025. The increase was mainly due to higher shipping expenses and other costs resulting from the growth in the scale of the Company’s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provision for credit losses by 515.4%, to a provision for credit losses of $0.9 million for fiscal year 2026, from a net recovery of credit losses of $0.2 million for fiscal year 2025. The increase in the provision for credit losses was mainly due to the significant increase in revenue and accounts receivable from franchise stores and wholesale customers, which resulted in a larger provision for credit losses during fiscal year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payroll, employee benefit expenses, and bonus expenses by 13.1%, to $7.4 million for fiscal year 2026, from $6.5 million for fiscal year 2025. The increase was mainly due to the increased headcount caused by the expansion of the Company’s business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professional service fees by 19.4%, to $3.9 million for fiscal year 2026, from $3.2 million for fiscal year 2025. The increase was mainly due to higher service fees incurred to accelerate the collection of accounts receivable, partially offset by a decrease in professional fees paid for a series of financial investigation services that were required by banks in connection with the Company’s borrowings;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promotion and advertising expenses by 361.9%, to $0.8 million for fiscal year 2026, from $0.2 million for fiscal year 2025. The increase was mainly due to the Company’s intensified advertising and promotional efforts during fiscal year 2026 to drive sales revenue growth;</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lease expenses by 13.3%, to $2.8 million for fiscal year 2026, from $2.5 million for fiscal year 2025. The increase was mainly due to the opening of new physical stores in Hong Kong and Australia in fiscal year 2026;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transaction commission paid to third-party e-commerce marketplace operators by 39.4%, to $0.8 million for fiscal year 2026, from $1.3 million for fiscal year 2025. The Company paid third-party e-commerce marketplace operators transaction commission ranging from 1.8% to 3.0% based on the Company’s sales amount. The decrease in transaction commission was in line with the decrease in the Company’s online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net included interest expenses calculated at interest rate per loan agreements and loan service costs, which were directly incremental to the loan agreements and amortized over the loan periods. Interest expenses, net increased by 15.2%, to $2.0 million for fiscal year 2026, from $1.7 million for fiscal year 2025. The increase was mainly due to an increase in interest expenses of $0.6 million, which was mainly due to the increased weighted average interest rate for fiscal year 2026, which was partially offset by the decrease in amortized loan service costs in relation to the Company’s syndicated loans by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and Delinquent Tax Due to Consumption Tax Correction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2022, the Tokyo Regional Taxation Bureau had conducted a tax examination into the Company’s consumption tax filing for the period from July 2018 to December 2021. As a result of the examination, the Company was required to return consumption tax refund for export transactions that were determined not to meet the tax exemption requirements due to incomplete submission of relevant export documents. As the failure in submission of relevant export documents was caused by the Company’s suppliers and customers, the Company entered into agreements with relevant suppliers and customers to claim compensation for damages from the additional consumption tax payment. On July 31, 2023, the Company received a reassessment notice from the Tokyo Regional Taxation Bureau, for additional consumption tax liability on a period-by-period basis. Based on this reassessment, the Company recognized the additional tax for understatement and delinquent tax of $0.6 million during fiscal year 2024. However, the Company contested this reassessment and filed a request for review with the National Tax Tribunal on February 22, 2024, challenging the legality of the reassessment decision and the imposition of additional tax penalties. On February 13, 2025, the Company received a ruling from the National Tax Tribunal, dated February 12, 2025, which upheld the Company’s request and annulled the disposition. Accordingly, the Company recorded a recovery of $3.9 million during fiscal year 2025, representing the reversal of upward consumption tax adjustments and the corresponding understatement surcharges and delinquent taxes imposed under the now-annulled reassessment. As the annulment also invalidated the downward consumption tax adjustments granted by the tax bureau for certain other filing periods, the Company was required to reinstate those tax liabilities to the amounts set forth in its original amended return. Therefore, during fiscal year 2026, the Company recognized $2.2 million in additional consumption tax and related understatement surcharges.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primarily includes tax refund, disposal gain or loss from property and equipment, government subsidy, and other immaterial income and expense items. Other income, net increased by 700.7%, to $2.9 million for fiscal year 2026, from $0.4 million for fiscal year 2025. The increase was mainly due to the increased gain from disposal of property and equipment as compared to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(loss) from 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foreign currency exchange was $0.4 million for fiscal year 2026, as compared to a loss from foreign currency exchange of $0.4 million for fiscal year 2025. The gain from foreign currency exchange was mainly due to the fluctuations in foreign exchange rates on the Company’s accounts receivable that denominated in foreign currencies such as the U.S. dollar during fiscal year 2026. It was also due to the gain from foreign currency exchange by the Company’s Hong Kong subsidiaries, which was mainly due to the significant fluctuations of foreign exchange rate on its payables that were denominated in Japanese Yen during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was $3.1 million for fiscal year 2026, compared to an income tax benefit of $1.9 million for fiscal year 2025. The provision for income taxes increased by 264.8%. The increase was mainly due to (i) higher current income tax expenses resulting from increased taxable income during fiscal year 2026; (ii) the refund of tax recognized in the prior fiscal year following the ruling from the National Tax Tribunal, dated February 12, 2025, which increased the income tax benefit for fiscal year 2025; and (iii) increased deferred income tax expenses arising from additional deferred tax liabilities resulting from the increase in the change in fair value of warrants liabilities during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decreased to $0.7 million for fiscal year 2026, compared to $6.6 million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was $0.02 for fiscal year 2026, compared to $0.16 for fiscal year 2025. Diluted earnings per share was $0.02 for fiscal year 2026, compared to $0.16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$2.1 million in cash as compared to $4.8 million as of March 31, 2025. As of March 31, 2026, the Company also had approximately $186.8 million in account receivable balance due from third parties. Approximately 22.3% of the March 31, 2026 balance has subsequently been collected, and the majority of the remaining balance is expected to be collected by December 31, 2026. The collection of such receivables made cash available for use in the Company’s operations as working capital,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$10.3 million for fiscal year 2026, mainly derived from net income of $0.7 million for the year, and net changes in the Company’s operating assets and liabilities, which mainly included increased accounts receivable of $87.3 million, increased merchandise inventories of $10.7 million, decreased accounts payable to related parties of $2.7 million and decreased operating lease liabilities of $2.5 million, which was partially offset by the increased accounts payable of $86.3 million, increased deferred revenue of $1.3 million and increased other payables and other current liabilities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amounted to $6.1 million for fiscal year 2026, mainly due to proceeds from disposal of property and equipment in the aggregate amount of $7.0 million, partially offset by an investment in a life insurance policy of $0.6 million, and purchases of property and equipment of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$4.2 million for fiscal year 2026, which primarily consisted of proceeds from short-term borrowings of $19.4 million, proceeds from long-term borrowings of $14.0 million, proceeds from related parties borrowings of $3.4 million, and capital contribution from non-controlling shareholders of $0.2 million, partially offset by repayments of short-term borrowings of $24.2 million, repayments of long-term borrowings of $7.8 million, payment of dividend distribution of $0.5 million, and repayment of obligations under finance leases of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at 8:30 am U.S. Eastern Time (9:30 pm Japan Standard Time) on July 10, 2026. Dial-in details for the conference call are as follows:</w:t>
      </w:r>
    </w:p>
    <w:p>
      <w:pPr>
        <w:pStyle w:val="TextBody"/>
        <w:bidi w:val="0"/>
        <w:spacing w:before="0" w:after="0"/>
        <w:ind w:left="0" w:right="0" w:hanging="0"/>
        <w:jc w:val="both"/>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2087"/>
        <w:gridCol w:w="2327"/>
      </w:tblGrid>
      <w:tr>
        <w:trPr/>
        <w:tc>
          <w:tcPr>
            <w:tcW w:w="441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Dial-in details for the conference call are as follows:</w:t>
            </w:r>
          </w:p>
        </w:tc>
      </w:tr>
      <w:tr>
        <w:trPr/>
        <w:tc>
          <w:tcPr>
            <w:tcW w:w="441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2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 am U.S. Eastern Time</w:t>
            </w:r>
          </w:p>
        </w:tc>
      </w:tr>
      <w:tr>
        <w:trPr/>
        <w:tc>
          <w:tcPr>
            <w:tcW w:w="2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tc>
        <w:tc>
          <w:tcPr>
            <w:tcW w:w="2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1-412-902-4272</w:t>
            </w:r>
          </w:p>
        </w:tc>
      </w:tr>
      <w:tr>
        <w:trPr/>
        <w:tc>
          <w:tcPr>
            <w:tcW w:w="2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Toll Free:</w:t>
            </w:r>
          </w:p>
        </w:tc>
        <w:tc>
          <w:tcPr>
            <w:tcW w:w="2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1-888-346-8982</w:t>
            </w:r>
          </w:p>
        </w:tc>
      </w:tr>
      <w:tr>
        <w:trPr/>
        <w:tc>
          <w:tcPr>
            <w:tcW w:w="2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w:t>
            </w:r>
          </w:p>
        </w:tc>
        <w:tc>
          <w:tcPr>
            <w:tcW w:w="2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dial in at least 15 minutes before the commencement of the call to ensure timely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unable to participate, an audio replay of the conference call will be available from approximately one hour after the end of the live call until July 17, 2026. The dial-in for the replay is 1-855-669-9658 within the United States or 1-412-317-0088 internationally. The replay access code is 5582239.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https://www.ystbek.co.jp/irlibrary/.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Tokyo, Japan, Tokyo Lifestyle Co., Ltd. (formerly known as Yoshitsu Co., Ltd) is a retailer and wholesaler of Japanese beauty and health products, sundry products, luxury products, electronic products, collectible cards, trendy toys, and other products in Hong Kong, Japan, North America, Thailand, Vietnam, the United Kingdom and Australia. The Company offers various beauty products (including cosmetics, skincare, fragrance, and body care products), health products (including over-the-counter drugs, nutritional supplements, and medical supplies and devices), sundry products (including home goods), collectible cards and trendy toys (including Pokémon cards, BE@RBRICK and other trendy products) and other products (including food and alcoholic beverages). The Company currently sells its products through directly-operated physical stores, through online stores, and to franchise stores and wholesale customers. For more information, please visit the Company’s website at https://www.ystbek.co.jp/irlibrary/.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are forward-looking statements, within the meaning of Section 21E of the Securities Exchange Act of 1934, as amended, and as defined in the U.S. Private Securities Litigation Reform Act of 1995.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annual report on Form 20-F and in its other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br/>
        <w:t>Email: ir@ystbek.co.jp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br/>
      </w:r>
      <w:r>
        <w:rPr>
          <w:rFonts w:ascii="Times New Roman;Times;Serif" w:hAnsi="Times New Roman;Times;Serif"/>
          <w:b w:val="false"/>
          <w:i/>
          <w:caps w:val="false"/>
          <w:smallCaps w:val="false"/>
          <w:sz w:val="20"/>
        </w:rPr>
        <w:t>President</w:t>
        <w:br/>
      </w:r>
      <w:r>
        <w:rPr>
          <w:rFonts w:ascii="Times New Roman;Times;Serif" w:hAnsi="Times New Roman;Times;Serif"/>
          <w:b w:val="false"/>
          <w:i w:val="false"/>
          <w:caps w:val="false"/>
          <w:smallCaps w:val="false"/>
          <w:sz w:val="20"/>
        </w:rPr>
        <w:t>Phone: +1-646-932-7242</w:t>
        <w:br/>
        <w:t>Email: investors@ascent-ir.com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b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2,115,342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4,819,639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186,830,286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107,305,580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Accounts receivable - related parties,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Merchandise 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14,433,760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4,370,803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Due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Compensation receivable for consumption tax, current,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8,707,457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7,178,775</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6,127,587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13,542,183</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219,436,251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137,218,305</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4,492,810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10,763,020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7,935,439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6,031,284</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Life insurance policy, cash surrender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527,873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both"/>
              <w:rPr/>
            </w:pPr>
            <w:r>
              <w:rPr/>
              <w:t>Compensation receivable for consumption tax, non-current,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2,039,840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Long-term prepaid expenses and other non-current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1,243,382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1,777,736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233,635,755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157,830,185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50,319,318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57,903,207</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Current portion of 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1,790,579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706,531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105,635,444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25,057,104</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2,678,588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426,156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27,678</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2,336,812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8,027,153</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349,671</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2,433,468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2,068,399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Finance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86,270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138,180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1,001,178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2,502,718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Other payables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3,215,841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1,998,713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168,368,624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101,457,942</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Due to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2,842,433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5,670,073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4,003,366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Finance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119,068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Long-term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11,516,741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6,501,772</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1,291,866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1,470,135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Deferred tax liabilities,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2,707,787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1,263,872</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192,470,577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114,816,155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Ordinary shares, no par value,100,000,000 shares authorized; 42,327,806 shares and 42,220,206 shares issued and outstanding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81,150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26,946,116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26,946,116</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27,877,884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27,695,268</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(13,839,803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(11,708,504</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41,065,347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43,014,030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99,831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41,165,178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43,014,030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233,635,755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157,830,185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br/>
        <w:t>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5"/>
        <w:gridCol w:w="60"/>
        <w:gridCol w:w="140"/>
        <w:gridCol w:w="1220"/>
        <w:gridCol w:w="95"/>
        <w:gridCol w:w="60"/>
        <w:gridCol w:w="140"/>
        <w:gridCol w:w="1220"/>
        <w:gridCol w:w="95"/>
        <w:gridCol w:w="60"/>
        <w:gridCol w:w="140"/>
        <w:gridCol w:w="1220"/>
        <w:gridCol w:w="110"/>
      </w:tblGrid>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1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Revenue -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373,219,124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202,278,304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189,674,322</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Revenue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7,840,934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6,006,993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373,223,819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210,119,238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195,681,315</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b/>
              </w:rPr>
            </w:pPr>
            <w:r>
              <w:rPr>
                <w:b/>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345,118,553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186,201,939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172,306,308</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24,883,467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19,198,116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17,597,125</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Total costs and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370,002,020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205,400,055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189,903,433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3,221,799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4,719,183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5,777,882</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(1,986,483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(1,611,141</w:t>
            </w:r>
          </w:p>
        </w:tc>
        <w:tc>
          <w:tcPr>
            <w:tcW w:w="110" w:type="dxa"/>
            <w:tcBorders/>
            <w:shd w:fill="CCEEFF" w:val="clear"/>
            <w:vAlign w:val="center"/>
          </w:tcPr>
          <w:p>
            <w:pPr>
              <w:pStyle w:val="TableContents"/>
              <w:bidi w:val="0"/>
              <w:spacing w:before="0" w:after="283"/>
              <w:jc w:val="left"/>
              <w:rPr/>
            </w:pPr>
            <w:r>
              <w:rPr/>
              <w:t>)</w:t>
            </w:r>
          </w:p>
        </w:tc>
      </w:tr>
      <w:tr>
        <w:trPr/>
        <w:tc>
          <w:tcPr>
            <w:tcW w:w="5645" w:type="dxa"/>
            <w:tcBorders/>
            <w:shd w:fill="FFFFFF" w:val="clear"/>
            <w:vAlign w:val="center"/>
          </w:tcPr>
          <w:p>
            <w:pPr>
              <w:pStyle w:val="TableContents"/>
              <w:bidi w:val="0"/>
              <w:spacing w:before="0" w:after="283"/>
              <w:jc w:val="left"/>
              <w:rPr/>
            </w:pPr>
            <w:r>
              <w:rPr/>
              <w:t>Additional and delinquent tax due to consumption tax correction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(2,181,256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3,905,908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(628,876</w:t>
            </w:r>
          </w:p>
        </w:tc>
        <w:tc>
          <w:tcPr>
            <w:tcW w:w="110" w:type="dxa"/>
            <w:tcBorders/>
            <w:shd w:fill="FFFFFF" w:val="clear"/>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Gain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190,571</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Gain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341,139</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Cash surrender value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2,916,749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364,294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760,435</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Gain (loss) from foreign currency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(440,055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3,065,971</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Change in fair value of warrants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1,438,866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(2,050,211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109,173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Loss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(69,444</w:t>
            </w:r>
          </w:p>
        </w:tc>
        <w:tc>
          <w:tcPr>
            <w:tcW w:w="110" w:type="dxa"/>
            <w:tcBorders/>
            <w:shd w:fill="CCEEFF" w:val="clear"/>
            <w:vAlign w:val="center"/>
          </w:tcPr>
          <w:p>
            <w:pPr>
              <w:pStyle w:val="TableContents"/>
              <w:bidi w:val="0"/>
              <w:spacing w:before="0" w:after="283"/>
              <w:jc w:val="left"/>
              <w:rPr/>
            </w:pPr>
            <w:r>
              <w:rPr/>
              <w:t>)</w:t>
            </w:r>
          </w:p>
        </w:tc>
      </w:tr>
      <w:tr>
        <w:trPr/>
        <w:tc>
          <w:tcPr>
            <w:tcW w:w="5645"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532,183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2,157,828</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INCOME BEFORE 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3,753,982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4,755,251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7,935,710</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3,102,686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(1,883,237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456,774</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651,296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6,638,488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7,478,936</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NET INCOME ATTRIBUTABLE TO TOKYO LIFESTYLE CO., LTD.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716,730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6,638,488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7,478,936</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7,478,936</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Foreign currency translation gain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(2,131,299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284,522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(3,923,683</w:t>
            </w:r>
          </w:p>
        </w:tc>
        <w:tc>
          <w:tcPr>
            <w:tcW w:w="110" w:type="dxa"/>
            <w:tcBorders/>
            <w:shd w:fill="FFFFFF" w:val="clear"/>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(1,480,003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6,923,010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3,555,253</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Less: comprehensive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(60,053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(1,540,056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6,923,010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3,555,253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Earnings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0.20</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b/>
              </w:rPr>
            </w:pPr>
            <w:r>
              <w:rPr>
                <w:b/>
              </w:rPr>
              <w:t>-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42,327,806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42,242,610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37,264,162</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42,327,806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42,242,610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37,264,162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TOKYO LIFESTYLE CO.,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97"/>
        <w:gridCol w:w="60"/>
        <w:gridCol w:w="140"/>
        <w:gridCol w:w="1175"/>
        <w:gridCol w:w="95"/>
        <w:gridCol w:w="60"/>
        <w:gridCol w:w="140"/>
        <w:gridCol w:w="1175"/>
        <w:gridCol w:w="95"/>
        <w:gridCol w:w="60"/>
        <w:gridCol w:w="140"/>
        <w:gridCol w:w="1175"/>
        <w:gridCol w:w="93"/>
      </w:tblGrid>
      <w:tr>
        <w:trPr/>
        <w:tc>
          <w:tcPr>
            <w:tcW w:w="5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3" w:type="dxa"/>
            <w:tcBorders/>
            <w:vAlign w:val="center"/>
          </w:tcPr>
          <w:p>
            <w:pPr>
              <w:pStyle w:val="TableContents"/>
              <w:bidi w:val="0"/>
              <w:spacing w:before="0" w:after="283"/>
              <w:jc w:val="left"/>
              <w:rPr/>
            </w:pPr>
            <w:r>
              <w:rPr/>
              <w:t> </w:t>
            </w:r>
          </w:p>
        </w:tc>
      </w:tr>
      <w:tr>
        <w:trPr/>
        <w:tc>
          <w:tcPr>
            <w:tcW w:w="5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left"/>
              <w:rPr/>
            </w:pPr>
            <w:r>
              <w:rPr/>
              <w:t> </w:t>
            </w:r>
          </w:p>
        </w:tc>
      </w:tr>
      <w:tr>
        <w:trPr/>
        <w:tc>
          <w:tcPr>
            <w:tcW w:w="579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651,296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7,478,936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Adjustments to reconcile net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1,150,519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1,232,611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Gain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(2,393,351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(178,152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(712,685</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Gain from unrealized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(89,191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(412,728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Provision for (reversal of)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915,388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(220,368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(2,043,939</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Addition (reversal) of merchandise inventories written down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(68,361</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2,639,989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2,049,635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1,711,978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Deferred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1,606,325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(955,082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(1,778,277</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(1,438,866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2,050,211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(109,173</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Investment loss from equity method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69,444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Gain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(190,571</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Loss on cash surrender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(87,270,000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(1,073,737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(24,747,655</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Accounts receivable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277,005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Merchandise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(10,667,514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2,355,034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Compensation receivable for consumption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696,224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11,284,665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(339,634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(10,772,468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949,043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Long term prepaid expenses and 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465,056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315,809</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86,279,085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567,502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13,816,414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(2,669,723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299,591</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1,302,736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8,006,135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35,027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(8,943,973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(6,977,961</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Other payables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1,212,727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(281,729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1,078,396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(2,514,494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(2,040,884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(1,711,398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(291,185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(239,250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b/>
              </w:rPr>
            </w:pPr>
            <w:r>
              <w:rPr>
                <w:b/>
              </w:rPr>
              <w:t>Net used in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(10,298,059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(598,739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1,911,955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(313,995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(992,068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(929,308</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6,988,761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3,104,387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Investment in an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Investment in life insurance policy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(601,771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Proceeds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276,800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34,600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Disposal of a subsidiary, net of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(171,788</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Repayments of loans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399,223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6,096,783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(964,193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2,713,914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Capital contribution from non-controlling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159,884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Payment of dividend distribution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(530,957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issuance of ordinary shares for warrants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Proceeds from issuance of ordinary shares,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3,747,282</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19,427,417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5,781,612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1,384,000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Repayments of short-term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(24,228,319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(1,446,786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(2,076,000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long-term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13,992,820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Repayments of 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(7,771,119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(4,186,712</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(repayments of) related parties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3,359,437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(228,966</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Repayment of obligations under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(166,428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(177,320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(420,910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4,242,735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3,967,618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(1,781,306</w:t>
            </w:r>
          </w:p>
        </w:tc>
        <w:tc>
          <w:tcPr>
            <w:tcW w:w="93" w:type="dxa"/>
            <w:tcBorders/>
            <w:shd w:fill="FFFFFF" w:val="clear"/>
            <w:vAlign w:val="center"/>
          </w:tcPr>
          <w:p>
            <w:pPr>
              <w:pStyle w:val="TableContents"/>
              <w:bidi w:val="0"/>
              <w:spacing w:before="0" w:after="283"/>
              <w:ind w:left="0" w:right="0" w:hanging="180"/>
              <w:jc w:val="left"/>
              <w:rPr>
                <w:b/>
              </w:rPr>
            </w:pPr>
            <w:r>
              <w:rPr>
                <w:b/>
              </w:rPr>
              <w:t>)</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Effect of exchange rate fluctuation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(2,745,756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(60,585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(2,135,466</w:t>
            </w:r>
          </w:p>
        </w:tc>
        <w:tc>
          <w:tcPr>
            <w:tcW w:w="93" w:type="dxa"/>
            <w:tcBorders/>
            <w:shd w:fill="FFFFFF" w:val="clear"/>
            <w:vAlign w:val="center"/>
          </w:tcPr>
          <w:p>
            <w:pPr>
              <w:pStyle w:val="TableContents"/>
              <w:bidi w:val="0"/>
              <w:spacing w:before="0" w:after="283"/>
              <w:ind w:left="0" w:right="0" w:hanging="180"/>
              <w:jc w:val="left"/>
              <w:rPr>
                <w:b/>
              </w:rPr>
            </w:pPr>
            <w:r>
              <w:rPr>
                <w:b/>
              </w:rPr>
              <w:t>)</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(2,704,297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2,344,101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709,097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4,819,639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2,475,538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1,766,441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at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2,115,342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4,819,639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2,475,538</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872,707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4,207,552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880,308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1,637,499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1,072,273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798,353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Supplemental non-cash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Purchase of property and equipment financed under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77,295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Right of 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4,715,753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3,118,676</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Reduction of right-of-use assets and operating lease obligations due to early termination of lease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233,202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5562</Words>
  <Characters>32258</Characters>
  <CharactersWithSpaces>38659</CharactersWithSpaces>
  <Paragraphs>2608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