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June 2026</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Commission File Number: 001-41181</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Tokyo Lifestyle Co., Ltd.</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Harumi Building, 2-5-9 Kotobashi</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Sumida-ku, Tokyo, 130-0022</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Japan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380"/>
        <w:spacing w:after="0" w:line="207" w:lineRule="exact"/>
        <w:tabs>
          <w:tab w:leader="none" w:pos="58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497840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36"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Convocation of the 20th Annual General Meeting of Shareholders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accordance with the rules and regulations of the Japanese Companies Act, Tokyo Lifestyle Co., Ltd., a joint-stock corporation with limited liability organized under Japanese law (the “Company”), has sent a notice and accompanying information, including proxy instructions, to all holders of its ordinary shares and American Depositary Shares with respect to its 20th Annual General Meeting of Shareholders to be held in Tokyo, Japan on June 26, 2026 (the “Notice”). A complete copy of the Notice is furnished hereto as Exhibit 99.1.</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Exhibit 99.1 furnished hereto shall not be deemed “filed” for the purposes of Section 18 of the Securities Exchange Act of 1934, as amended, or otherwise subject to the liabilities of that section.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of a Year-End Dividend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Notice, the Company proposed that the shareholders approve a year-end dividend of JPY1.890 per share (the “Year-End Dividend”). Upon shareholders’ approval, the Year-End Dividend distribution will become effective on June 30, 2026 and be payable from September 14, 2026 to September 30, 2026 to all shareholders of record as of March 31, 2026 (Japan Standard Time), with an American depositary receipt record date of March 31, 2026 (Eastern Time).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Tokyo Lifestyle Co., Ltd.</w:t>
      </w:r>
    </w:p>
    <w:p>
      <w:pPr>
        <w:spacing w:after="0" w:line="229" w:lineRule="exact"/>
        <w:rPr>
          <w:sz w:val="20"/>
          <w:szCs w:val="20"/>
          <w:color w:val="auto"/>
        </w:rPr>
      </w:pPr>
    </w:p>
    <w:p>
      <w:pPr>
        <w:spacing w:after="0"/>
        <w:tabs>
          <w:tab w:leader="none" w:pos="6740" w:val="left"/>
          <w:tab w:leader="none" w:pos="7300" w:val="left"/>
        </w:tabs>
        <w:rPr>
          <w:sz w:val="20"/>
          <w:szCs w:val="20"/>
          <w:color w:val="auto"/>
        </w:rPr>
      </w:pPr>
      <w:r>
        <w:rPr>
          <w:rFonts w:ascii="Times New Roman" w:cs="Times New Roman" w:eastAsia="Times New Roman" w:hAnsi="Times New Roman"/>
          <w:sz w:val="18"/>
          <w:szCs w:val="18"/>
          <w:color w:val="auto"/>
        </w:rPr>
        <w:t>Date: June 12,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Mei Kanayama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Mei Kanayama</w:t>
      </w:r>
    </w:p>
    <w:p>
      <w:pPr>
        <w:spacing w:after="0" w:line="23"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Representative Director and Director</w:t>
      </w:r>
    </w:p>
    <w:p>
      <w:pPr>
        <w:spacing w:after="0" w:line="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20" w:type="dxa"/>
            <w:vAlign w:val="bottom"/>
            <w:gridSpan w:val="2"/>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9"/>
        </w:trPr>
        <w:tc>
          <w:tcPr>
            <w:tcW w:w="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0" w:type="dxa"/>
            <w:vAlign w:val="bottom"/>
            <w:tcBorders>
              <w:bottom w:val="single" w:sz="8" w:color="CCEEFF"/>
            </w:tcBorders>
          </w:tcPr>
          <w:p>
            <w:pPr>
              <w:spacing w:after="0"/>
              <w:rPr>
                <w:sz w:val="24"/>
                <w:szCs w:val="24"/>
                <w:color w:val="auto"/>
              </w:rPr>
            </w:pPr>
          </w:p>
        </w:tc>
        <w:tc>
          <w:tcPr>
            <w:tcW w:w="10220" w:type="dxa"/>
            <w:vAlign w:val="bottom"/>
            <w:tcBorders>
              <w:bottom w:val="single" w:sz="8" w:color="auto"/>
            </w:tcBorders>
            <w:gridSpan w:val="2"/>
          </w:tcPr>
          <w:p>
            <w:pPr>
              <w:ind w:left="46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6"/>
        </w:trPr>
        <w:tc>
          <w:tcPr>
            <w:tcW w:w="9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00" w:type="dxa"/>
            <w:vAlign w:val="bottom"/>
            <w:tcBorders>
              <w:bottom w:val="single" w:sz="8" w:color="CCEEFF"/>
            </w:tcBorders>
            <w:shd w:val="clear" w:color="auto" w:fill="CCEEFF"/>
          </w:tcPr>
          <w:p>
            <w:pPr>
              <w:spacing w:after="0"/>
              <w:rPr>
                <w:sz w:val="17"/>
                <w:szCs w:val="17"/>
                <w:color w:val="auto"/>
              </w:rPr>
            </w:pPr>
          </w:p>
        </w:tc>
        <w:tc>
          <w:tcPr>
            <w:tcW w:w="688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Notice of Convocation of Annual General Meeting of Shareholders to be held on June 26, 2026</w:t>
            </w:r>
          </w:p>
        </w:tc>
        <w:tc>
          <w:tcPr>
            <w:tcW w:w="3340" w:type="dxa"/>
            <w:vAlign w:val="bottom"/>
            <w:tcBorders>
              <w:bottom w:val="single" w:sz="8" w:color="CCEEFF"/>
            </w:tcBorders>
            <w:shd w:val="clear" w:color="auto" w:fill="CCEEFF"/>
          </w:tcPr>
          <w:p>
            <w:pPr>
              <w:spacing w:after="0"/>
              <w:rPr>
                <w:sz w:val="17"/>
                <w:szCs w:val="17"/>
                <w:color w:val="auto"/>
              </w:rPr>
            </w:pPr>
          </w:p>
        </w:tc>
      </w:tr>
      <w:tr>
        <w:trPr>
          <w:trHeight w:val="655"/>
        </w:trPr>
        <w:tc>
          <w:tcPr>
            <w:tcW w:w="920" w:type="dxa"/>
            <w:vAlign w:val="bottom"/>
            <w:tcBorders>
              <w:bottom w:val="single" w:sz="8" w:color="auto"/>
            </w:tcBorders>
          </w:tcPr>
          <w:p>
            <w:pPr>
              <w:spacing w:after="0"/>
              <w:rPr>
                <w:sz w:val="24"/>
                <w:szCs w:val="24"/>
                <w:color w:val="auto"/>
              </w:rPr>
            </w:pPr>
          </w:p>
        </w:tc>
        <w:tc>
          <w:tcPr>
            <w:tcW w:w="6980" w:type="dxa"/>
            <w:vAlign w:val="bottom"/>
            <w:tcBorders>
              <w:bottom w:val="single" w:sz="8" w:color="auto"/>
            </w:tcBorders>
            <w:gridSpan w:val="2"/>
          </w:tcPr>
          <w:p>
            <w:pPr>
              <w:jc w:val="right"/>
              <w:ind w:right="2150"/>
              <w:spacing w:after="0"/>
              <w:rPr>
                <w:sz w:val="20"/>
                <w:szCs w:val="20"/>
                <w:color w:val="auto"/>
              </w:rPr>
            </w:pPr>
            <w:r>
              <w:rPr>
                <w:rFonts w:ascii="Times New Roman" w:cs="Times New Roman" w:eastAsia="Times New Roman" w:hAnsi="Times New Roman"/>
                <w:sz w:val="18"/>
                <w:szCs w:val="18"/>
                <w:color w:val="auto"/>
              </w:rPr>
              <w:t>3</w:t>
            </w:r>
          </w:p>
        </w:tc>
        <w:tc>
          <w:tcPr>
            <w:tcW w:w="3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4" w:name="page5"/>
    <w:bookmarkEnd w:id="4"/>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[This is an English translation of the original issued in Japanese]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[Note] The Company assumes no responsibility for this translation or for direct, indirect, or other forms of damages arising from the translation. This document has been translated from the Japanese original for reference purposes only. In the event of any discrepancy between this translated document and the Japanese original, the original shall prevail.</w:t>
      </w:r>
    </w:p>
    <w:p>
      <w:pPr>
        <w:spacing w:after="0" w:line="1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June 12, 2026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Shareholders</w:t>
      </w:r>
    </w:p>
    <w:p>
      <w:pPr>
        <w:spacing w:after="0" w:line="2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Harumi Building, 2-5-9 Kotobashi,</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Sumida-ku, Tokyo,130-0022</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Tokyo Lifestyle Co., Ltd.</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President and Representative</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Director</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Mei Kanayama</w:t>
      </w:r>
    </w:p>
    <w:p>
      <w:pPr>
        <w:spacing w:after="0" w:line="207"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color w:val="auto"/>
        </w:rPr>
        <w:t>Notice of the 20th Ordinary General Meeting of Shareholders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sincerely appreciate your continued support and kind attention.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are cordially invited to attend the 20th Ordinary General Meeting of Shareholders of our company. The meeting will be held as described below.</w:t>
      </w:r>
    </w:p>
    <w:p>
      <w:pPr>
        <w:spacing w:after="0" w:line="225" w:lineRule="exact"/>
        <w:rPr>
          <w:sz w:val="20"/>
          <w:szCs w:val="20"/>
          <w:color w:val="auto"/>
        </w:rPr>
      </w:pPr>
    </w:p>
    <w:p>
      <w:pPr>
        <w:jc w:val="both"/>
        <w:ind w:hanging="8"/>
        <w:spacing w:after="0" w:line="266" w:lineRule="auto"/>
        <w:rPr>
          <w:sz w:val="20"/>
          <w:szCs w:val="20"/>
          <w:color w:val="auto"/>
        </w:rPr>
      </w:pPr>
      <w:r>
        <w:rPr>
          <w:rFonts w:ascii="Times New Roman" w:cs="Times New Roman" w:eastAsia="Times New Roman" w:hAnsi="Times New Roman"/>
          <w:sz w:val="18"/>
          <w:szCs w:val="18"/>
          <w:color w:val="auto"/>
        </w:rPr>
        <w:t>If you are unable to attend the meeting, you may exercise your voting rights in writing. Please review the attached Reference Documents for the General Meeting of Shareholders, indicate your approval or disapproval of the proposals on the enclosed Voting Rights Exercise Form, and send it to our company so that it arrives by 4:30 PM on June 25, 2026.</w:t>
      </w:r>
    </w:p>
    <w:p>
      <w:pPr>
        <w:spacing w:after="0" w:line="176" w:lineRule="exact"/>
        <w:rPr>
          <w:sz w:val="20"/>
          <w:szCs w:val="20"/>
          <w:color w:val="auto"/>
        </w:rPr>
      </w:pPr>
    </w:p>
    <w:p>
      <w:pPr>
        <w:ind w:left="10300"/>
        <w:spacing w:after="0"/>
        <w:rPr>
          <w:sz w:val="20"/>
          <w:szCs w:val="20"/>
          <w:color w:val="auto"/>
        </w:rPr>
      </w:pPr>
      <w:r>
        <w:rPr>
          <w:rFonts w:ascii="Times New Roman" w:cs="Times New Roman" w:eastAsia="Times New Roman" w:hAnsi="Times New Roman"/>
          <w:sz w:val="17"/>
          <w:szCs w:val="17"/>
          <w:color w:val="auto"/>
        </w:rPr>
        <w:t>Best regards,</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Notice</w:t>
      </w:r>
    </w:p>
    <w:p>
      <w:pPr>
        <w:spacing w:after="0" w:line="225" w:lineRule="exact"/>
        <w:rPr>
          <w:sz w:val="20"/>
          <w:szCs w:val="20"/>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Friday, June 26, 2026 at 11:00 AM (Reception starts at 10:00 AM)</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Harumi Bldg. 5th Floor, Kotobashi 2-5-9, Sumida-ku, Tokyo, Japan</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Purpose</w:t>
      </w:r>
    </w:p>
    <w:p>
      <w:pPr>
        <w:spacing w:after="0" w:line="225"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Matters to be reported:</w:t>
      </w:r>
    </w:p>
    <w:p>
      <w:pPr>
        <w:spacing w:after="0" w:line="228" w:lineRule="exact"/>
        <w:rPr>
          <w:rFonts w:ascii="Times New Roman" w:cs="Times New Roman" w:eastAsia="Times New Roman" w:hAnsi="Times New Roman"/>
          <w:sz w:val="18"/>
          <w:szCs w:val="18"/>
          <w:color w:val="auto"/>
        </w:rPr>
      </w:pPr>
    </w:p>
    <w:p>
      <w:pPr>
        <w:ind w:left="340" w:right="5120"/>
        <w:spacing w:after="0" w:line="40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Report for the 20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Fiscal Year (from April 1, 2025 to March 31, 2026) Matters to be resolved:</w:t>
      </w:r>
    </w:p>
    <w:p>
      <w:pPr>
        <w:ind w:left="660"/>
        <w:spacing w:after="0"/>
        <w:tabs>
          <w:tab w:leader="none" w:pos="1600" w:val="left"/>
        </w:tabs>
        <w:rPr>
          <w:sz w:val="20"/>
          <w:szCs w:val="20"/>
          <w:color w:val="auto"/>
        </w:rPr>
      </w:pPr>
      <w:r>
        <w:rPr>
          <w:rFonts w:ascii="Times New Roman" w:cs="Times New Roman" w:eastAsia="Times New Roman" w:hAnsi="Times New Roman"/>
          <w:sz w:val="18"/>
          <w:szCs w:val="18"/>
          <w:color w:val="auto"/>
        </w:rPr>
        <w:t>Proposal 1</w:t>
      </w:r>
      <w:r>
        <w:rPr>
          <w:sz w:val="20"/>
          <w:szCs w:val="20"/>
          <w:color w:val="auto"/>
        </w:rPr>
        <w:tab/>
      </w:r>
      <w:r>
        <w:rPr>
          <w:rFonts w:ascii="Times New Roman" w:cs="Times New Roman" w:eastAsia="Times New Roman" w:hAnsi="Times New Roman"/>
          <w:sz w:val="17"/>
          <w:szCs w:val="17"/>
          <w:color w:val="auto"/>
        </w:rPr>
        <w:t>Approval of the Financial Statements for the 20th Fiscal Year</w:t>
      </w:r>
    </w:p>
    <w:p>
      <w:pPr>
        <w:spacing w:after="0" w:line="225" w:lineRule="exact"/>
        <w:rPr>
          <w:sz w:val="20"/>
          <w:szCs w:val="20"/>
          <w:color w:val="auto"/>
        </w:rPr>
      </w:pPr>
    </w:p>
    <w:p>
      <w:pPr>
        <w:ind w:left="660"/>
        <w:spacing w:after="0"/>
        <w:tabs>
          <w:tab w:leader="none" w:pos="1600" w:val="left"/>
        </w:tabs>
        <w:rPr>
          <w:sz w:val="20"/>
          <w:szCs w:val="20"/>
          <w:color w:val="auto"/>
        </w:rPr>
      </w:pPr>
      <w:r>
        <w:rPr>
          <w:rFonts w:ascii="Times New Roman" w:cs="Times New Roman" w:eastAsia="Times New Roman" w:hAnsi="Times New Roman"/>
          <w:sz w:val="18"/>
          <w:szCs w:val="18"/>
          <w:color w:val="auto"/>
        </w:rPr>
        <w:t>Proposal 2</w:t>
        <w:tab/>
        <w:t>Partial Amendments to the Articles of Incorporation</w:t>
      </w:r>
    </w:p>
    <w:p>
      <w:pPr>
        <w:spacing w:after="0" w:line="2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(Establishment of a Board of Auditors and Appointment of an Accounting Auditor)</w:t>
      </w:r>
    </w:p>
    <w:p>
      <w:pPr>
        <w:spacing w:after="0" w:line="207" w:lineRule="exact"/>
        <w:rPr>
          <w:sz w:val="20"/>
          <w:szCs w:val="20"/>
          <w:color w:val="auto"/>
        </w:rPr>
      </w:pPr>
    </w:p>
    <w:p>
      <w:pPr>
        <w:ind w:left="660"/>
        <w:spacing w:after="0"/>
        <w:tabs>
          <w:tab w:leader="none" w:pos="1600" w:val="left"/>
        </w:tabs>
        <w:rPr>
          <w:sz w:val="20"/>
          <w:szCs w:val="20"/>
          <w:color w:val="auto"/>
        </w:rPr>
      </w:pPr>
      <w:r>
        <w:rPr>
          <w:rFonts w:ascii="Times New Roman" w:cs="Times New Roman" w:eastAsia="Times New Roman" w:hAnsi="Times New Roman"/>
          <w:sz w:val="18"/>
          <w:szCs w:val="18"/>
          <w:color w:val="auto"/>
        </w:rPr>
        <w:t>Proposal 3</w:t>
        <w:tab/>
        <w:t>Appropriation of Surplus</w:t>
      </w:r>
    </w:p>
    <w:p>
      <w:pPr>
        <w:spacing w:after="0" w:line="225" w:lineRule="exact"/>
        <w:rPr>
          <w:sz w:val="20"/>
          <w:szCs w:val="20"/>
          <w:color w:val="auto"/>
        </w:rPr>
      </w:pPr>
    </w:p>
    <w:p>
      <w:pPr>
        <w:ind w:left="660"/>
        <w:spacing w:after="0"/>
        <w:tabs>
          <w:tab w:leader="none" w:pos="1600" w:val="left"/>
        </w:tabs>
        <w:rPr>
          <w:sz w:val="20"/>
          <w:szCs w:val="20"/>
          <w:color w:val="auto"/>
        </w:rPr>
      </w:pPr>
      <w:r>
        <w:rPr>
          <w:rFonts w:ascii="Times New Roman" w:cs="Times New Roman" w:eastAsia="Times New Roman" w:hAnsi="Times New Roman"/>
          <w:sz w:val="18"/>
          <w:szCs w:val="18"/>
          <w:color w:val="auto"/>
        </w:rPr>
        <w:t>Proposal 4</w:t>
        <w:tab/>
        <w:t>Appointment of Accounting Auditor</w:t>
      </w:r>
    </w:p>
    <w:p>
      <w:pPr>
        <w:spacing w:after="0" w:line="225" w:lineRule="exact"/>
        <w:rPr>
          <w:sz w:val="20"/>
          <w:szCs w:val="20"/>
          <w:color w:val="auto"/>
        </w:rPr>
      </w:pPr>
    </w:p>
    <w:p>
      <w:pPr>
        <w:ind w:left="660"/>
        <w:spacing w:after="0"/>
        <w:tabs>
          <w:tab w:leader="none" w:pos="1600" w:val="left"/>
        </w:tabs>
        <w:rPr>
          <w:sz w:val="20"/>
          <w:szCs w:val="20"/>
          <w:color w:val="auto"/>
        </w:rPr>
      </w:pPr>
      <w:r>
        <w:rPr>
          <w:rFonts w:ascii="Times New Roman" w:cs="Times New Roman" w:eastAsia="Times New Roman" w:hAnsi="Times New Roman"/>
          <w:sz w:val="18"/>
          <w:szCs w:val="18"/>
          <w:color w:val="auto"/>
        </w:rPr>
        <w:t>Proposal 5</w:t>
        <w:tab/>
        <w:t>Election of Three Corporate Auditors</w:t>
      </w:r>
    </w:p>
    <w:p>
      <w:pPr>
        <w:spacing w:after="0" w:line="225" w:lineRule="exact"/>
        <w:rPr>
          <w:sz w:val="20"/>
          <w:szCs w:val="20"/>
          <w:color w:val="auto"/>
        </w:rPr>
      </w:pPr>
    </w:p>
    <w:p>
      <w:pPr>
        <w:ind w:left="10480"/>
        <w:spacing w:after="0"/>
        <w:rPr>
          <w:sz w:val="20"/>
          <w:szCs w:val="20"/>
          <w:color w:val="auto"/>
        </w:rPr>
      </w:pPr>
      <w:r>
        <w:rPr>
          <w:rFonts w:ascii="Times New Roman" w:cs="Times New Roman" w:eastAsia="Times New Roman" w:hAnsi="Times New Roman"/>
          <w:sz w:val="18"/>
          <w:szCs w:val="18"/>
          <w:color w:val="auto"/>
        </w:rPr>
        <w:t>The above</w:t>
      </w:r>
    </w:p>
    <w:p>
      <w:pPr>
        <w:spacing w:after="0" w:line="225" w:lineRule="exact"/>
        <w:rPr>
          <w:sz w:val="20"/>
          <w:szCs w:val="20"/>
          <w:color w:val="auto"/>
        </w:rPr>
      </w:pPr>
    </w:p>
    <w:p>
      <w:pPr>
        <w:ind w:hanging="8"/>
        <w:spacing w:after="0" w:line="282" w:lineRule="auto"/>
        <w:rPr>
          <w:sz w:val="20"/>
          <w:szCs w:val="20"/>
          <w:color w:val="auto"/>
        </w:rPr>
      </w:pPr>
      <w:r>
        <w:rPr>
          <w:rFonts w:ascii="Times New Roman" w:cs="Times New Roman" w:eastAsia="Times New Roman" w:hAnsi="Times New Roman"/>
          <w:sz w:val="18"/>
          <w:szCs w:val="18"/>
          <w:color w:val="auto"/>
        </w:rPr>
        <w:t>When attending the meeting, please bring this Notice of Convocation, the attached documents, and the Reference Documents for the General Meeting of Shareholders, and submit the enclosed Voting Rights Exercise Form to the reception desk.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ind w:left="3340"/>
        <w:spacing w:after="0"/>
        <w:rPr>
          <w:sz w:val="20"/>
          <w:szCs w:val="20"/>
          <w:color w:val="auto"/>
        </w:rPr>
      </w:pPr>
      <w:r>
        <w:rPr>
          <w:rFonts w:ascii="Times New Roman" w:cs="Times New Roman" w:eastAsia="Times New Roman" w:hAnsi="Times New Roman"/>
          <w:sz w:val="18"/>
          <w:szCs w:val="18"/>
          <w:color w:val="auto"/>
        </w:rPr>
        <w:t>Reference Documents for the General Meeting of Shareholders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Proposal 1: Approval of the Financial Statements for the 20th Fiscal Year</w:t>
      </w:r>
    </w:p>
    <w:p>
      <w:pPr>
        <w:spacing w:after="0" w:line="225" w:lineRule="exact"/>
        <w:rPr>
          <w:sz w:val="20"/>
          <w:szCs w:val="20"/>
          <w:color w:val="auto"/>
        </w:rPr>
      </w:pPr>
    </w:p>
    <w:p>
      <w:pPr>
        <w:jc w:val="both"/>
        <w:ind w:left="20" w:hanging="6"/>
        <w:spacing w:after="0" w:line="282" w:lineRule="auto"/>
        <w:rPr>
          <w:sz w:val="20"/>
          <w:szCs w:val="20"/>
          <w:color w:val="auto"/>
        </w:rPr>
      </w:pPr>
      <w:r>
        <w:rPr>
          <w:rFonts w:ascii="Times New Roman" w:cs="Times New Roman" w:eastAsia="Times New Roman" w:hAnsi="Times New Roman"/>
          <w:sz w:val="18"/>
          <w:szCs w:val="18"/>
          <w:color w:val="auto"/>
        </w:rPr>
        <w:t>Approval is hereby requested, in accordance with applicable laws and regulations and the provisions of the Articles of Incorporation, for the financial statements of the Company’s 20th fiscal year (from April 1, 2025 to March 31, 2026).</w:t>
      </w:r>
    </w:p>
    <w:p>
      <w:pPr>
        <w:spacing w:after="0" w:line="162" w:lineRule="exact"/>
        <w:rPr>
          <w:sz w:val="20"/>
          <w:szCs w:val="20"/>
          <w:color w:val="auto"/>
        </w:rPr>
      </w:pPr>
    </w:p>
    <w:p>
      <w:pPr>
        <w:jc w:val="both"/>
        <w:ind w:left="20" w:hanging="6"/>
        <w:spacing w:after="0" w:line="266" w:lineRule="auto"/>
        <w:rPr>
          <w:sz w:val="20"/>
          <w:szCs w:val="20"/>
          <w:color w:val="auto"/>
        </w:rPr>
      </w:pPr>
      <w:r>
        <w:rPr>
          <w:rFonts w:ascii="Times New Roman" w:cs="Times New Roman" w:eastAsia="Times New Roman" w:hAnsi="Times New Roman"/>
          <w:sz w:val="18"/>
          <w:szCs w:val="18"/>
          <w:color w:val="auto"/>
        </w:rPr>
        <w:t>These financial statements have undergone a voluntary audit by an independent audit firm serving as the accounting auditor; however, they have not been audited under the Companies Act by a Board of Corporate Auditors or an Accounting Auditor in the capacity of a company with such institutions established. Such audits are scheduled to commence from the 21st fiscal year.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Proposal 2: Partial Amendments to the Articles of Incorporation (Establishment of a Board of Auditors and Appointment of an Accounting Auditor)</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Reason for the Amendments</w:t>
      </w:r>
    </w:p>
    <w:p>
      <w:pPr>
        <w:spacing w:after="0" w:line="225" w:lineRule="exact"/>
        <w:rPr>
          <w:sz w:val="20"/>
          <w:szCs w:val="20"/>
          <w:color w:val="auto"/>
        </w:rPr>
      </w:pPr>
    </w:p>
    <w:p>
      <w:pPr>
        <w:jc w:val="both"/>
        <w:ind w:right="20" w:hanging="4"/>
        <w:spacing w:after="0" w:line="282" w:lineRule="auto"/>
        <w:rPr>
          <w:sz w:val="20"/>
          <w:szCs w:val="20"/>
          <w:color w:val="auto"/>
        </w:rPr>
      </w:pPr>
      <w:r>
        <w:rPr>
          <w:rFonts w:ascii="Times New Roman" w:cs="Times New Roman" w:eastAsia="Times New Roman" w:hAnsi="Times New Roman"/>
          <w:sz w:val="18"/>
          <w:szCs w:val="18"/>
          <w:color w:val="auto"/>
        </w:rPr>
        <w:t>In connection with the establishment of an Accounting Auditor, the Company proposes to partially amend the current Articles of Incorporation in accordance with the provisions of the Companies Act by newly establishing provisions regarding the Accounting Auditor.</w:t>
      </w:r>
    </w:p>
    <w:p>
      <w:pPr>
        <w:spacing w:after="0" w:line="162"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Details of the Amendments</w:t>
      </w:r>
    </w:p>
    <w:p>
      <w:pPr>
        <w:spacing w:after="0" w:line="225" w:lineRule="exact"/>
        <w:rPr>
          <w:sz w:val="20"/>
          <w:szCs w:val="20"/>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Company’s transition to a company with a Board of Corporate Auditors, new provisions relating to the Board of Corporate Auditors and Corporate Auditors shall be established in the Articles of Incorporation.</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provisions shall be established to provide that the number of Corporate Auditors shall be three (3) or more, and that a majority of such Corporate Auditors shall be Outside Corporate Auditors.</w:t>
      </w:r>
    </w:p>
    <w:p>
      <w:pPr>
        <w:spacing w:after="0" w:line="161" w:lineRule="exact"/>
        <w:rPr>
          <w:rFonts w:ascii="Times New Roman" w:cs="Times New Roman" w:eastAsia="Times New Roman" w:hAnsi="Times New Roman"/>
          <w:sz w:val="18"/>
          <w:szCs w:val="18"/>
          <w:color w:val="auto"/>
        </w:rPr>
      </w:pPr>
    </w:p>
    <w:p>
      <w:pPr>
        <w:ind w:right="20" w:firstLine="332"/>
        <w:spacing w:after="0" w:line="500" w:lineRule="auto"/>
        <w:tabs>
          <w:tab w:leader="none" w:pos="64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necessary amendments shall be made, including renumbering of articles resulting from the above additions and other related revisions. Proposal 3: Appropriation of Surplus</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hereby requests approval for the distribution of dividends from surplus as set forth below, with March 31, 2026 (Tuesday) as the record date.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Details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Type of dividend property: Cash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Matters concerning the allocation of dividend property: JPY 1.890 per share of common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amount of dividends: JPY 79,999,557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date of dividend distribution: June 30,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Dividend Payment Commencement Date: September 14,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Dividend Payment End Date: September 30, 2026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Proposal 4: Appointment of Accounting Auditor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requests approval for the appointment of Sakurazaka Audit Corporation as the Accounting Auditor.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Proposal 5: Election of Three Corporate Auditors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the Company will transition to a company with an Audit &amp; Supervisory Board, subject to the approval and adoption of Proposal No. 2, we hereby request the election of three (3) Audit &amp; Supervisory Board Members.</w:t>
      </w:r>
    </w:p>
    <w:p>
      <w:pPr>
        <w:spacing w:after="0" w:line="162" w:lineRule="exact"/>
        <w:rPr>
          <w:sz w:val="20"/>
          <w:szCs w:val="20"/>
          <w:color w:val="auto"/>
        </w:rPr>
      </w:pPr>
    </w:p>
    <w:p>
      <w:pPr>
        <w:jc w:val="both"/>
        <w:ind w:left="20" w:hanging="8"/>
        <w:spacing w:after="0" w:line="266" w:lineRule="auto"/>
        <w:rPr>
          <w:sz w:val="20"/>
          <w:szCs w:val="20"/>
          <w:color w:val="auto"/>
        </w:rPr>
      </w:pPr>
      <w:r>
        <w:rPr>
          <w:rFonts w:ascii="Times New Roman" w:cs="Times New Roman" w:eastAsia="Times New Roman" w:hAnsi="Times New Roman"/>
          <w:sz w:val="18"/>
          <w:szCs w:val="18"/>
          <w:color w:val="auto"/>
        </w:rPr>
        <w:t>Mr. Keiichi Kimura, who currently serves as an Audit &amp; Supervisory Board Member, is scheduled to resign upon the conclusion of this General Meeting. This resignation is intended to align the terms of office of all newly elected Audit &amp; Supervisory Board Members following the transition to a company with an Audit &amp; Supervisory Board pursuant to Proposal No. 2, thereby facilitating the smooth operation of the Audit &amp; Supervisory Board.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ind w:left="20" w:hanging="8"/>
        <w:spacing w:after="0" w:line="282" w:lineRule="auto"/>
        <w:rPr>
          <w:sz w:val="20"/>
          <w:szCs w:val="20"/>
          <w:color w:val="auto"/>
        </w:rPr>
      </w:pPr>
      <w:r>
        <w:rPr>
          <w:rFonts w:ascii="Times New Roman" w:cs="Times New Roman" w:eastAsia="Times New Roman" w:hAnsi="Times New Roman"/>
          <w:sz w:val="18"/>
          <w:szCs w:val="18"/>
          <w:color w:val="auto"/>
        </w:rPr>
        <w:t>Accordingly, we request the election of the following three individuals as Audit &amp; Supervisory Board Members. The remuneration of the Audit &amp; Supervisory Board Members shall be determined within the total amount of remuneration previously approved by resolution of the shareholders’ meeting.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candidates for Corporate Auditor are as follows:</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65"/>
        </w:trPr>
        <w:tc>
          <w:tcPr>
            <w:tcW w:w="1020" w:type="dxa"/>
            <w:vAlign w:val="bottom"/>
            <w:tcBorders>
              <w:top w:val="single" w:sz="8" w:color="auto"/>
              <w:left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Candidate</w:t>
            </w:r>
          </w:p>
        </w:tc>
        <w:tc>
          <w:tcPr>
            <w:tcW w:w="3020" w:type="dxa"/>
            <w:vAlign w:val="bottom"/>
            <w:tcBorders>
              <w:top w:val="single" w:sz="8" w:color="auto"/>
              <w:right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w w:val="97"/>
              </w:rPr>
              <w:t>Name</w:t>
            </w:r>
          </w:p>
        </w:tc>
        <w:tc>
          <w:tcPr>
            <w:tcW w:w="5480" w:type="dxa"/>
            <w:vAlign w:val="bottom"/>
            <w:tcBorders>
              <w:top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Brief Biography, Position, Significant Concurrent Positions, and Special</w:t>
            </w:r>
          </w:p>
        </w:tc>
        <w:tc>
          <w:tcPr>
            <w:tcW w:w="17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0" w:type="dxa"/>
            <w:vAlign w:val="bottom"/>
          </w:tcPr>
          <w:p>
            <w:pPr>
              <w:spacing w:after="0"/>
              <w:rPr>
                <w:sz w:val="1"/>
                <w:szCs w:val="1"/>
                <w:color w:val="auto"/>
              </w:rPr>
            </w:pPr>
          </w:p>
        </w:tc>
      </w:tr>
      <w:tr>
        <w:trPr>
          <w:trHeight w:val="216"/>
        </w:trPr>
        <w:tc>
          <w:tcPr>
            <w:tcW w:w="102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Number</w:t>
            </w:r>
          </w:p>
        </w:tc>
        <w:tc>
          <w:tcPr>
            <w:tcW w:w="3020" w:type="dxa"/>
            <w:vAlign w:val="bottom"/>
            <w:tcBorders>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(Date of birth)</w:t>
            </w:r>
          </w:p>
        </w:tc>
        <w:tc>
          <w:tcPr>
            <w:tcW w:w="5480" w:type="dxa"/>
            <w:vAlign w:val="bottom"/>
            <w:tcBorders>
              <w:right w:val="single" w:sz="8" w:color="auto"/>
            </w:tcBorders>
          </w:tcPr>
          <w:p>
            <w:pPr>
              <w:ind w:left="1740"/>
              <w:spacing w:after="0"/>
              <w:rPr>
                <w:sz w:val="20"/>
                <w:szCs w:val="20"/>
                <w:color w:val="auto"/>
              </w:rPr>
            </w:pPr>
            <w:r>
              <w:rPr>
                <w:rFonts w:ascii="Times New Roman" w:cs="Times New Roman" w:eastAsia="Times New Roman" w:hAnsi="Times New Roman"/>
                <w:sz w:val="18"/>
                <w:szCs w:val="18"/>
                <w:color w:val="auto"/>
              </w:rPr>
              <w:t>Interests with the Company.</w:t>
            </w:r>
          </w:p>
        </w:tc>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Company’s</w:t>
            </w:r>
          </w:p>
        </w:tc>
        <w:tc>
          <w:tcPr>
            <w:tcW w:w="0" w:type="dxa"/>
            <w:vAlign w:val="bottom"/>
          </w:tcPr>
          <w:p>
            <w:pPr>
              <w:spacing w:after="0"/>
              <w:rPr>
                <w:sz w:val="1"/>
                <w:szCs w:val="1"/>
                <w:color w:val="auto"/>
              </w:rPr>
            </w:pPr>
          </w:p>
        </w:tc>
      </w:tr>
      <w:tr>
        <w:trPr>
          <w:trHeight w:val="234"/>
        </w:trPr>
        <w:tc>
          <w:tcPr>
            <w:tcW w:w="1020" w:type="dxa"/>
            <w:vAlign w:val="bottom"/>
            <w:tcBorders>
              <w:left w:val="single" w:sz="8" w:color="auto"/>
              <w:bottom w:val="single" w:sz="8" w:color="auto"/>
              <w:right w:val="single" w:sz="8" w:color="auto"/>
            </w:tcBorders>
          </w:tcPr>
          <w:p>
            <w:pPr>
              <w:spacing w:after="0"/>
              <w:rPr>
                <w:sz w:val="20"/>
                <w:szCs w:val="20"/>
                <w:color w:val="auto"/>
              </w:rPr>
            </w:pPr>
          </w:p>
        </w:tc>
        <w:tc>
          <w:tcPr>
            <w:tcW w:w="3020" w:type="dxa"/>
            <w:vAlign w:val="bottom"/>
            <w:tcBorders>
              <w:bottom w:val="single" w:sz="8" w:color="auto"/>
              <w:right w:val="single" w:sz="8" w:color="auto"/>
            </w:tcBorders>
          </w:tcPr>
          <w:p>
            <w:pPr>
              <w:spacing w:after="0"/>
              <w:rPr>
                <w:sz w:val="20"/>
                <w:szCs w:val="20"/>
                <w:color w:val="auto"/>
              </w:rPr>
            </w:pPr>
          </w:p>
        </w:tc>
        <w:tc>
          <w:tcPr>
            <w:tcW w:w="5480" w:type="dxa"/>
            <w:vAlign w:val="bottom"/>
            <w:tcBorders>
              <w:bottom w:val="single" w:sz="8" w:color="auto"/>
              <w:right w:val="single" w:sz="8" w:color="auto"/>
            </w:tcBorders>
          </w:tcPr>
          <w:p>
            <w:pPr>
              <w:spacing w:after="0"/>
              <w:rPr>
                <w:sz w:val="20"/>
                <w:szCs w:val="20"/>
                <w:color w:val="auto"/>
              </w:rPr>
            </w:pP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Shares Held</w:t>
            </w:r>
          </w:p>
        </w:tc>
        <w:tc>
          <w:tcPr>
            <w:tcW w:w="0" w:type="dxa"/>
            <w:vAlign w:val="bottom"/>
          </w:tcPr>
          <w:p>
            <w:pPr>
              <w:spacing w:after="0"/>
              <w:rPr>
                <w:sz w:val="1"/>
                <w:szCs w:val="1"/>
                <w:color w:val="auto"/>
              </w:rPr>
            </w:pPr>
          </w:p>
        </w:tc>
      </w:tr>
      <w:tr>
        <w:trPr>
          <w:trHeight w:val="245"/>
        </w:trPr>
        <w:tc>
          <w:tcPr>
            <w:tcW w:w="1020" w:type="dxa"/>
            <w:vAlign w:val="bottom"/>
            <w:tcBorders>
              <w:left w:val="single" w:sz="8" w:color="auto"/>
              <w:right w:val="single" w:sz="8" w:color="auto"/>
            </w:tcBorders>
          </w:tcPr>
          <w:p>
            <w:pPr>
              <w:spacing w:after="0"/>
              <w:rPr>
                <w:sz w:val="21"/>
                <w:szCs w:val="21"/>
                <w:color w:val="auto"/>
              </w:rPr>
            </w:pPr>
          </w:p>
        </w:tc>
        <w:tc>
          <w:tcPr>
            <w:tcW w:w="3020" w:type="dxa"/>
            <w:vAlign w:val="bottom"/>
            <w:tcBorders>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Keiichi Kimura</w:t>
            </w:r>
          </w:p>
        </w:tc>
        <w:tc>
          <w:tcPr>
            <w:tcW w:w="5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(Career summary and position)</w:t>
            </w:r>
          </w:p>
        </w:tc>
        <w:tc>
          <w:tcPr>
            <w:tcW w:w="17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020" w:type="dxa"/>
            <w:vAlign w:val="bottom"/>
            <w:tcBorders>
              <w:left w:val="single" w:sz="8" w:color="auto"/>
              <w:right w:val="single" w:sz="8" w:color="auto"/>
            </w:tcBorders>
          </w:tcPr>
          <w:p>
            <w:pPr>
              <w:spacing w:after="0"/>
              <w:rPr>
                <w:sz w:val="18"/>
                <w:szCs w:val="18"/>
                <w:color w:val="auto"/>
              </w:rPr>
            </w:pPr>
          </w:p>
        </w:tc>
        <w:tc>
          <w:tcPr>
            <w:tcW w:w="3020" w:type="dxa"/>
            <w:vAlign w:val="bottom"/>
            <w:tcBorders>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rPr>
              <w:t>(February 9, 1966)</w:t>
            </w:r>
          </w:p>
        </w:tc>
        <w:tc>
          <w:tcPr>
            <w:tcW w:w="548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20" w:type="dxa"/>
            <w:vAlign w:val="bottom"/>
            <w:tcBorders>
              <w:left w:val="single" w:sz="8" w:color="auto"/>
              <w:right w:val="single" w:sz="8" w:color="auto"/>
            </w:tcBorders>
          </w:tcPr>
          <w:p>
            <w:pPr>
              <w:spacing w:after="0"/>
              <w:rPr>
                <w:sz w:val="20"/>
                <w:szCs w:val="20"/>
                <w:color w:val="auto"/>
              </w:rPr>
            </w:pPr>
          </w:p>
        </w:tc>
        <w:tc>
          <w:tcPr>
            <w:tcW w:w="3020" w:type="dxa"/>
            <w:vAlign w:val="bottom"/>
            <w:tcBorders>
              <w:right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w w:val="99"/>
              </w:rPr>
              <w:t>Reappointment</w:t>
            </w:r>
          </w:p>
        </w:tc>
        <w:tc>
          <w:tcPr>
            <w:tcW w:w="5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November 2014 Joined Takuetsu Co., Ltd.</w:t>
            </w:r>
          </w:p>
        </w:tc>
        <w:tc>
          <w:tcPr>
            <w:tcW w:w="1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20" w:type="dxa"/>
            <w:vAlign w:val="bottom"/>
            <w:tcBorders>
              <w:left w:val="single" w:sz="8" w:color="auto"/>
              <w:right w:val="single" w:sz="8" w:color="auto"/>
            </w:tcBorders>
          </w:tcPr>
          <w:p>
            <w:pPr>
              <w:spacing w:after="0"/>
              <w:rPr>
                <w:sz w:val="24"/>
                <w:szCs w:val="24"/>
                <w:color w:val="auto"/>
              </w:rPr>
            </w:pPr>
          </w:p>
        </w:tc>
        <w:tc>
          <w:tcPr>
            <w:tcW w:w="30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June 2020 Appointed as Corporate Auditor of the Company</w:t>
            </w: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20" w:type="dxa"/>
            <w:vAlign w:val="bottom"/>
            <w:tcBorders>
              <w:left w:val="single" w:sz="8" w:color="auto"/>
              <w:right w:val="single" w:sz="8" w:color="auto"/>
            </w:tcBorders>
          </w:tcPr>
          <w:p>
            <w:pPr>
              <w:spacing w:after="0"/>
              <w:rPr>
                <w:sz w:val="24"/>
                <w:szCs w:val="24"/>
                <w:color w:val="auto"/>
              </w:rPr>
            </w:pPr>
          </w:p>
        </w:tc>
        <w:tc>
          <w:tcPr>
            <w:tcW w:w="30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October 2021 Appointed as Inside Corporate Auditor of the Company</w:t>
            </w: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20" w:type="dxa"/>
            <w:vAlign w:val="bottom"/>
            <w:tcBorders>
              <w:left w:val="single" w:sz="8" w:color="auto"/>
              <w:right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1</w:t>
            </w:r>
          </w:p>
        </w:tc>
        <w:tc>
          <w:tcPr>
            <w:tcW w:w="30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June 2025 Reappointed as Internal Corporate Auditor of the Company</w:t>
            </w:r>
          </w:p>
        </w:tc>
        <w:tc>
          <w:tcPr>
            <w:tcW w:w="172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0 shares</w:t>
            </w:r>
          </w:p>
        </w:tc>
        <w:tc>
          <w:tcPr>
            <w:tcW w:w="0" w:type="dxa"/>
            <w:vAlign w:val="bottom"/>
          </w:tcPr>
          <w:p>
            <w:pPr>
              <w:spacing w:after="0"/>
              <w:rPr>
                <w:sz w:val="1"/>
                <w:szCs w:val="1"/>
                <w:color w:val="auto"/>
              </w:rPr>
            </w:pPr>
          </w:p>
        </w:tc>
      </w:tr>
      <w:tr>
        <w:trPr>
          <w:trHeight w:val="90"/>
        </w:trPr>
        <w:tc>
          <w:tcPr>
            <w:tcW w:w="1020" w:type="dxa"/>
            <w:vAlign w:val="bottom"/>
            <w:tcBorders>
              <w:left w:val="single" w:sz="8" w:color="auto"/>
              <w:right w:val="single" w:sz="8" w:color="auto"/>
            </w:tcBorders>
          </w:tcPr>
          <w:p>
            <w:pPr>
              <w:spacing w:after="0"/>
              <w:rPr>
                <w:sz w:val="7"/>
                <w:szCs w:val="7"/>
                <w:color w:val="auto"/>
              </w:rPr>
            </w:pPr>
          </w:p>
        </w:tc>
        <w:tc>
          <w:tcPr>
            <w:tcW w:w="3020" w:type="dxa"/>
            <w:vAlign w:val="bottom"/>
            <w:tcBorders>
              <w:right w:val="single" w:sz="8" w:color="auto"/>
            </w:tcBorders>
          </w:tcPr>
          <w:p>
            <w:pPr>
              <w:spacing w:after="0"/>
              <w:rPr>
                <w:sz w:val="7"/>
                <w:szCs w:val="7"/>
                <w:color w:val="auto"/>
              </w:rPr>
            </w:pPr>
          </w:p>
        </w:tc>
        <w:tc>
          <w:tcPr>
            <w:tcW w:w="5480" w:type="dxa"/>
            <w:vAlign w:val="bottom"/>
            <w:tcBorders>
              <w:right w:val="single" w:sz="8" w:color="auto"/>
            </w:tcBorders>
            <w:vMerge w:val="continue"/>
          </w:tcPr>
          <w:p>
            <w:pPr>
              <w:spacing w:after="0"/>
              <w:rPr>
                <w:sz w:val="7"/>
                <w:szCs w:val="7"/>
                <w:color w:val="auto"/>
              </w:rPr>
            </w:pPr>
          </w:p>
        </w:tc>
        <w:tc>
          <w:tcPr>
            <w:tcW w:w="17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1020" w:type="dxa"/>
            <w:vAlign w:val="bottom"/>
            <w:tcBorders>
              <w:left w:val="single" w:sz="8" w:color="auto"/>
              <w:right w:val="single" w:sz="8" w:color="auto"/>
            </w:tcBorders>
          </w:tcPr>
          <w:p>
            <w:pPr>
              <w:spacing w:after="0"/>
              <w:rPr>
                <w:sz w:val="20"/>
                <w:szCs w:val="20"/>
                <w:color w:val="auto"/>
              </w:rPr>
            </w:pPr>
          </w:p>
        </w:tc>
        <w:tc>
          <w:tcPr>
            <w:tcW w:w="3020" w:type="dxa"/>
            <w:vAlign w:val="bottom"/>
            <w:tcBorders>
              <w:right w:val="single" w:sz="8" w:color="auto"/>
            </w:tcBorders>
          </w:tcPr>
          <w:p>
            <w:pPr>
              <w:spacing w:after="0"/>
              <w:rPr>
                <w:sz w:val="20"/>
                <w:szCs w:val="20"/>
                <w:color w:val="auto"/>
              </w:rPr>
            </w:pPr>
          </w:p>
        </w:tc>
        <w:tc>
          <w:tcPr>
            <w:tcW w:w="5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(incumbent)</w:t>
            </w:r>
          </w:p>
        </w:tc>
        <w:tc>
          <w:tcPr>
            <w:tcW w:w="1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020" w:type="dxa"/>
            <w:vAlign w:val="bottom"/>
            <w:tcBorders>
              <w:left w:val="single" w:sz="8" w:color="auto"/>
              <w:right w:val="single" w:sz="8" w:color="auto"/>
            </w:tcBorders>
          </w:tcPr>
          <w:p>
            <w:pPr>
              <w:spacing w:after="0"/>
              <w:rPr>
                <w:sz w:val="24"/>
                <w:szCs w:val="24"/>
                <w:color w:val="auto"/>
              </w:rPr>
            </w:pPr>
          </w:p>
        </w:tc>
        <w:tc>
          <w:tcPr>
            <w:tcW w:w="30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(Significant Concurrent Positions)</w:t>
            </w: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020" w:type="dxa"/>
            <w:vAlign w:val="bottom"/>
            <w:tcBorders>
              <w:left w:val="single" w:sz="8" w:color="auto"/>
              <w:right w:val="single" w:sz="8" w:color="auto"/>
            </w:tcBorders>
          </w:tcPr>
          <w:p>
            <w:pPr>
              <w:spacing w:after="0"/>
              <w:rPr>
                <w:sz w:val="20"/>
                <w:szCs w:val="20"/>
                <w:color w:val="auto"/>
              </w:rPr>
            </w:pPr>
          </w:p>
        </w:tc>
        <w:tc>
          <w:tcPr>
            <w:tcW w:w="3020" w:type="dxa"/>
            <w:vAlign w:val="bottom"/>
            <w:tcBorders>
              <w:right w:val="single" w:sz="8" w:color="auto"/>
            </w:tcBorders>
          </w:tcPr>
          <w:p>
            <w:pPr>
              <w:spacing w:after="0"/>
              <w:rPr>
                <w:sz w:val="20"/>
                <w:szCs w:val="20"/>
                <w:color w:val="auto"/>
              </w:rPr>
            </w:pPr>
          </w:p>
        </w:tc>
        <w:tc>
          <w:tcPr>
            <w:tcW w:w="5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None</w:t>
            </w:r>
          </w:p>
        </w:tc>
        <w:tc>
          <w:tcPr>
            <w:tcW w:w="1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020" w:type="dxa"/>
            <w:vAlign w:val="bottom"/>
            <w:tcBorders>
              <w:left w:val="single" w:sz="8" w:color="auto"/>
              <w:right w:val="single" w:sz="8" w:color="auto"/>
            </w:tcBorders>
          </w:tcPr>
          <w:p>
            <w:pPr>
              <w:spacing w:after="0"/>
              <w:rPr>
                <w:sz w:val="24"/>
                <w:szCs w:val="24"/>
                <w:color w:val="auto"/>
              </w:rPr>
            </w:pPr>
          </w:p>
        </w:tc>
        <w:tc>
          <w:tcPr>
            <w:tcW w:w="30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(Special Interests with our Company)</w:t>
            </w: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020" w:type="dxa"/>
            <w:vAlign w:val="bottom"/>
            <w:tcBorders>
              <w:left w:val="single" w:sz="8" w:color="auto"/>
              <w:bottom w:val="single" w:sz="8" w:color="auto"/>
              <w:right w:val="single" w:sz="8" w:color="auto"/>
            </w:tcBorders>
          </w:tcPr>
          <w:p>
            <w:pPr>
              <w:spacing w:after="0"/>
              <w:rPr>
                <w:sz w:val="20"/>
                <w:szCs w:val="20"/>
                <w:color w:val="auto"/>
              </w:rPr>
            </w:pPr>
          </w:p>
        </w:tc>
        <w:tc>
          <w:tcPr>
            <w:tcW w:w="3020" w:type="dxa"/>
            <w:vAlign w:val="bottom"/>
            <w:tcBorders>
              <w:bottom w:val="single" w:sz="8" w:color="auto"/>
              <w:right w:val="single" w:sz="8" w:color="auto"/>
            </w:tcBorders>
          </w:tcPr>
          <w:p>
            <w:pPr>
              <w:spacing w:after="0"/>
              <w:rPr>
                <w:sz w:val="20"/>
                <w:szCs w:val="20"/>
                <w:color w:val="auto"/>
              </w:rPr>
            </w:pPr>
          </w:p>
        </w:tc>
        <w:tc>
          <w:tcPr>
            <w:tcW w:w="54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None</w:t>
            </w:r>
          </w:p>
        </w:tc>
        <w:tc>
          <w:tcPr>
            <w:tcW w:w="17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1020" w:type="dxa"/>
            <w:vAlign w:val="bottom"/>
            <w:tcBorders>
              <w:left w:val="single" w:sz="8" w:color="auto"/>
              <w:right w:val="single" w:sz="8" w:color="auto"/>
            </w:tcBorders>
          </w:tcPr>
          <w:p>
            <w:pPr>
              <w:spacing w:after="0"/>
              <w:rPr>
                <w:sz w:val="21"/>
                <w:szCs w:val="21"/>
                <w:color w:val="auto"/>
              </w:rPr>
            </w:pPr>
          </w:p>
        </w:tc>
        <w:tc>
          <w:tcPr>
            <w:tcW w:w="3020" w:type="dxa"/>
            <w:vAlign w:val="bottom"/>
            <w:tcBorders>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Akira Kotajima</w:t>
            </w:r>
          </w:p>
        </w:tc>
        <w:tc>
          <w:tcPr>
            <w:tcW w:w="5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(Career summary and position)</w:t>
            </w:r>
          </w:p>
        </w:tc>
        <w:tc>
          <w:tcPr>
            <w:tcW w:w="17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020" w:type="dxa"/>
            <w:vAlign w:val="bottom"/>
            <w:tcBorders>
              <w:left w:val="single" w:sz="8" w:color="auto"/>
              <w:right w:val="single" w:sz="8" w:color="auto"/>
            </w:tcBorders>
          </w:tcPr>
          <w:p>
            <w:pPr>
              <w:spacing w:after="0"/>
              <w:rPr>
                <w:sz w:val="18"/>
                <w:szCs w:val="18"/>
                <w:color w:val="auto"/>
              </w:rPr>
            </w:pPr>
          </w:p>
        </w:tc>
        <w:tc>
          <w:tcPr>
            <w:tcW w:w="3020" w:type="dxa"/>
            <w:vAlign w:val="bottom"/>
            <w:tcBorders>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rPr>
              <w:t>(August 20, 1984)</w:t>
            </w:r>
          </w:p>
        </w:tc>
        <w:tc>
          <w:tcPr>
            <w:tcW w:w="548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20" w:type="dxa"/>
            <w:vAlign w:val="bottom"/>
            <w:tcBorders>
              <w:left w:val="single" w:sz="8" w:color="auto"/>
              <w:right w:val="single" w:sz="8" w:color="auto"/>
            </w:tcBorders>
          </w:tcPr>
          <w:p>
            <w:pPr>
              <w:spacing w:after="0"/>
              <w:rPr>
                <w:sz w:val="20"/>
                <w:szCs w:val="20"/>
                <w:color w:val="auto"/>
              </w:rPr>
            </w:pPr>
          </w:p>
        </w:tc>
        <w:tc>
          <w:tcPr>
            <w:tcW w:w="3020" w:type="dxa"/>
            <w:vAlign w:val="bottom"/>
            <w:tcBorders>
              <w:right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rPr>
              <w:t>New Appointment</w:t>
            </w:r>
          </w:p>
        </w:tc>
        <w:tc>
          <w:tcPr>
            <w:tcW w:w="5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December 2013 Joined DinnerBank Co., Ltd.</w:t>
            </w:r>
          </w:p>
        </w:tc>
        <w:tc>
          <w:tcPr>
            <w:tcW w:w="1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20" w:type="dxa"/>
            <w:vAlign w:val="bottom"/>
            <w:tcBorders>
              <w:left w:val="single" w:sz="8" w:color="auto"/>
              <w:right w:val="single" w:sz="8" w:color="auto"/>
            </w:tcBorders>
          </w:tcPr>
          <w:p>
            <w:pPr>
              <w:spacing w:after="0"/>
              <w:rPr>
                <w:sz w:val="24"/>
                <w:szCs w:val="24"/>
                <w:color w:val="auto"/>
              </w:rPr>
            </w:pPr>
          </w:p>
        </w:tc>
        <w:tc>
          <w:tcPr>
            <w:tcW w:w="30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March 2016 Appointed Representative Director of DinnerBank Co., Ltd.</w:t>
            </w: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20" w:type="dxa"/>
            <w:vAlign w:val="bottom"/>
            <w:tcBorders>
              <w:left w:val="single" w:sz="8" w:color="auto"/>
              <w:right w:val="single" w:sz="8" w:color="auto"/>
            </w:tcBorders>
          </w:tcPr>
          <w:p>
            <w:pPr>
              <w:spacing w:after="0"/>
              <w:rPr>
                <w:sz w:val="24"/>
                <w:szCs w:val="24"/>
                <w:color w:val="auto"/>
              </w:rPr>
            </w:pPr>
          </w:p>
        </w:tc>
        <w:tc>
          <w:tcPr>
            <w:tcW w:w="30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July 2024 Resigned as Representative Director of DinnerBank Co., Ltd.</w:t>
            </w:r>
          </w:p>
        </w:tc>
        <w:tc>
          <w:tcPr>
            <w:tcW w:w="1720" w:type="dxa"/>
            <w:vAlign w:val="bottom"/>
            <w:tcBorders>
              <w:right w:val="single" w:sz="8" w:color="auto"/>
            </w:tcBorders>
            <w:vMerge w:val="restart"/>
          </w:tcPr>
          <w:p>
            <w:pPr>
              <w:ind w:left="1060"/>
              <w:spacing w:after="0"/>
              <w:rPr>
                <w:sz w:val="20"/>
                <w:szCs w:val="20"/>
                <w:color w:val="auto"/>
              </w:rPr>
            </w:pPr>
            <w:r>
              <w:rPr>
                <w:rFonts w:ascii="Times New Roman" w:cs="Times New Roman" w:eastAsia="Times New Roman" w:hAnsi="Times New Roman"/>
                <w:sz w:val="18"/>
                <w:szCs w:val="18"/>
                <w:color w:val="auto"/>
              </w:rPr>
              <w:t>0 shares</w:t>
            </w:r>
          </w:p>
        </w:tc>
        <w:tc>
          <w:tcPr>
            <w:tcW w:w="0" w:type="dxa"/>
            <w:vAlign w:val="bottom"/>
          </w:tcPr>
          <w:p>
            <w:pPr>
              <w:spacing w:after="0"/>
              <w:rPr>
                <w:sz w:val="1"/>
                <w:szCs w:val="1"/>
                <w:color w:val="auto"/>
              </w:rPr>
            </w:pPr>
          </w:p>
        </w:tc>
      </w:tr>
      <w:tr>
        <w:trPr>
          <w:trHeight w:val="216"/>
        </w:trPr>
        <w:tc>
          <w:tcPr>
            <w:tcW w:w="1020" w:type="dxa"/>
            <w:vAlign w:val="bottom"/>
            <w:tcBorders>
              <w:left w:val="single" w:sz="8" w:color="auto"/>
              <w:right w:val="single" w:sz="8" w:color="auto"/>
            </w:tcBorders>
            <w:vMerge w:val="restart"/>
          </w:tcPr>
          <w:p>
            <w:pPr>
              <w:jc w:val="right"/>
              <w:ind w:right="330"/>
              <w:spacing w:after="0"/>
              <w:rPr>
                <w:sz w:val="20"/>
                <w:szCs w:val="20"/>
                <w:color w:val="auto"/>
              </w:rPr>
            </w:pPr>
            <w:r>
              <w:rPr>
                <w:rFonts w:ascii="Times New Roman" w:cs="Times New Roman" w:eastAsia="Times New Roman" w:hAnsi="Times New Roman"/>
                <w:sz w:val="18"/>
                <w:szCs w:val="18"/>
                <w:color w:val="auto"/>
              </w:rPr>
              <w:t>2</w:t>
            </w:r>
          </w:p>
        </w:tc>
        <w:tc>
          <w:tcPr>
            <w:tcW w:w="30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July 2024 Left DinnerBank Co., Ltd.</w:t>
            </w:r>
          </w:p>
        </w:tc>
        <w:tc>
          <w:tcPr>
            <w:tcW w:w="172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020" w:type="dxa"/>
            <w:vAlign w:val="bottom"/>
            <w:tcBorders>
              <w:left w:val="single" w:sz="8" w:color="auto"/>
              <w:right w:val="single" w:sz="8" w:color="auto"/>
            </w:tcBorders>
            <w:vMerge w:val="continue"/>
          </w:tcPr>
          <w:p>
            <w:pPr>
              <w:spacing w:after="0"/>
              <w:rPr>
                <w:sz w:val="9"/>
                <w:szCs w:val="9"/>
                <w:color w:val="auto"/>
              </w:rPr>
            </w:pPr>
          </w:p>
        </w:tc>
        <w:tc>
          <w:tcPr>
            <w:tcW w:w="3020" w:type="dxa"/>
            <w:vAlign w:val="bottom"/>
            <w:tcBorders>
              <w:right w:val="single" w:sz="8" w:color="auto"/>
            </w:tcBorders>
          </w:tcPr>
          <w:p>
            <w:pPr>
              <w:spacing w:after="0"/>
              <w:rPr>
                <w:sz w:val="9"/>
                <w:szCs w:val="9"/>
                <w:color w:val="auto"/>
              </w:rPr>
            </w:pPr>
          </w:p>
        </w:tc>
        <w:tc>
          <w:tcPr>
            <w:tcW w:w="5480" w:type="dxa"/>
            <w:vAlign w:val="bottom"/>
            <w:tcBorders>
              <w:right w:val="single" w:sz="8" w:color="auto"/>
            </w:tcBorders>
            <w:vMerge w:val="continue"/>
          </w:tcPr>
          <w:p>
            <w:pPr>
              <w:spacing w:after="0"/>
              <w:rPr>
                <w:sz w:val="9"/>
                <w:szCs w:val="9"/>
                <w:color w:val="auto"/>
              </w:rPr>
            </w:pPr>
          </w:p>
        </w:tc>
        <w:tc>
          <w:tcPr>
            <w:tcW w:w="17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020" w:type="dxa"/>
            <w:vAlign w:val="bottom"/>
            <w:tcBorders>
              <w:left w:val="single" w:sz="8" w:color="auto"/>
              <w:right w:val="single" w:sz="8" w:color="auto"/>
            </w:tcBorders>
          </w:tcPr>
          <w:p>
            <w:pPr>
              <w:spacing w:after="0"/>
              <w:rPr>
                <w:sz w:val="9"/>
                <w:szCs w:val="9"/>
                <w:color w:val="auto"/>
              </w:rPr>
            </w:pPr>
          </w:p>
        </w:tc>
        <w:tc>
          <w:tcPr>
            <w:tcW w:w="3020" w:type="dxa"/>
            <w:vAlign w:val="bottom"/>
            <w:tcBorders>
              <w:right w:val="single" w:sz="8" w:color="auto"/>
            </w:tcBorders>
          </w:tcPr>
          <w:p>
            <w:pPr>
              <w:spacing w:after="0"/>
              <w:rPr>
                <w:sz w:val="9"/>
                <w:szCs w:val="9"/>
                <w:color w:val="auto"/>
              </w:rPr>
            </w:pPr>
          </w:p>
        </w:tc>
        <w:tc>
          <w:tcPr>
            <w:tcW w:w="5480" w:type="dxa"/>
            <w:vAlign w:val="bottom"/>
            <w:tcBorders>
              <w:right w:val="single" w:sz="8" w:color="auto"/>
            </w:tcBorders>
            <w:vMerge w:val="continue"/>
          </w:tcPr>
          <w:p>
            <w:pPr>
              <w:spacing w:after="0"/>
              <w:rPr>
                <w:sz w:val="9"/>
                <w:szCs w:val="9"/>
                <w:color w:val="auto"/>
              </w:rPr>
            </w:pPr>
          </w:p>
        </w:tc>
        <w:tc>
          <w:tcPr>
            <w:tcW w:w="17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14"/>
        </w:trPr>
        <w:tc>
          <w:tcPr>
            <w:tcW w:w="1020" w:type="dxa"/>
            <w:vAlign w:val="bottom"/>
            <w:tcBorders>
              <w:left w:val="single" w:sz="8" w:color="auto"/>
              <w:right w:val="single" w:sz="8" w:color="auto"/>
            </w:tcBorders>
          </w:tcPr>
          <w:p>
            <w:pPr>
              <w:spacing w:after="0"/>
              <w:rPr>
                <w:sz w:val="24"/>
                <w:szCs w:val="24"/>
                <w:color w:val="auto"/>
              </w:rPr>
            </w:pPr>
          </w:p>
        </w:tc>
        <w:tc>
          <w:tcPr>
            <w:tcW w:w="30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(Significant Concurrent Positions)</w:t>
            </w: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020" w:type="dxa"/>
            <w:vAlign w:val="bottom"/>
            <w:tcBorders>
              <w:left w:val="single" w:sz="8" w:color="auto"/>
              <w:right w:val="single" w:sz="8" w:color="auto"/>
            </w:tcBorders>
          </w:tcPr>
          <w:p>
            <w:pPr>
              <w:spacing w:after="0"/>
              <w:rPr>
                <w:sz w:val="20"/>
                <w:szCs w:val="20"/>
                <w:color w:val="auto"/>
              </w:rPr>
            </w:pPr>
          </w:p>
        </w:tc>
        <w:tc>
          <w:tcPr>
            <w:tcW w:w="3020" w:type="dxa"/>
            <w:vAlign w:val="bottom"/>
            <w:tcBorders>
              <w:right w:val="single" w:sz="8" w:color="auto"/>
            </w:tcBorders>
          </w:tcPr>
          <w:p>
            <w:pPr>
              <w:spacing w:after="0"/>
              <w:rPr>
                <w:sz w:val="20"/>
                <w:szCs w:val="20"/>
                <w:color w:val="auto"/>
              </w:rPr>
            </w:pPr>
          </w:p>
        </w:tc>
        <w:tc>
          <w:tcPr>
            <w:tcW w:w="5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None</w:t>
            </w:r>
          </w:p>
        </w:tc>
        <w:tc>
          <w:tcPr>
            <w:tcW w:w="1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020" w:type="dxa"/>
            <w:vAlign w:val="bottom"/>
            <w:tcBorders>
              <w:left w:val="single" w:sz="8" w:color="auto"/>
              <w:right w:val="single" w:sz="8" w:color="auto"/>
            </w:tcBorders>
          </w:tcPr>
          <w:p>
            <w:pPr>
              <w:spacing w:after="0"/>
              <w:rPr>
                <w:sz w:val="24"/>
                <w:szCs w:val="24"/>
                <w:color w:val="auto"/>
              </w:rPr>
            </w:pPr>
          </w:p>
        </w:tc>
        <w:tc>
          <w:tcPr>
            <w:tcW w:w="30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(Special Interests with our Company)</w:t>
            </w: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020" w:type="dxa"/>
            <w:vAlign w:val="bottom"/>
            <w:tcBorders>
              <w:left w:val="single" w:sz="8" w:color="auto"/>
              <w:right w:val="single" w:sz="8" w:color="auto"/>
            </w:tcBorders>
          </w:tcPr>
          <w:p>
            <w:pPr>
              <w:spacing w:after="0"/>
              <w:rPr>
                <w:sz w:val="20"/>
                <w:szCs w:val="20"/>
                <w:color w:val="auto"/>
              </w:rPr>
            </w:pPr>
          </w:p>
        </w:tc>
        <w:tc>
          <w:tcPr>
            <w:tcW w:w="3020" w:type="dxa"/>
            <w:vAlign w:val="bottom"/>
            <w:tcBorders>
              <w:right w:val="single" w:sz="8" w:color="auto"/>
            </w:tcBorders>
          </w:tcPr>
          <w:p>
            <w:pPr>
              <w:spacing w:after="0"/>
              <w:rPr>
                <w:sz w:val="20"/>
                <w:szCs w:val="20"/>
                <w:color w:val="auto"/>
              </w:rPr>
            </w:pPr>
          </w:p>
        </w:tc>
        <w:tc>
          <w:tcPr>
            <w:tcW w:w="5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None</w:t>
            </w:r>
          </w:p>
        </w:tc>
        <w:tc>
          <w:tcPr>
            <w:tcW w:w="1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20" w:type="dxa"/>
            <w:vAlign w:val="bottom"/>
            <w:tcBorders>
              <w:left w:val="single" w:sz="8" w:color="auto"/>
              <w:bottom w:val="single" w:sz="8" w:color="auto"/>
              <w:right w:val="single" w:sz="8" w:color="auto"/>
            </w:tcBorders>
          </w:tcPr>
          <w:p>
            <w:pPr>
              <w:spacing w:after="0"/>
              <w:rPr>
                <w:sz w:val="18"/>
                <w:szCs w:val="18"/>
                <w:color w:val="auto"/>
              </w:rPr>
            </w:pPr>
          </w:p>
        </w:tc>
        <w:tc>
          <w:tcPr>
            <w:tcW w:w="3020" w:type="dxa"/>
            <w:vAlign w:val="bottom"/>
            <w:tcBorders>
              <w:bottom w:val="single" w:sz="8" w:color="auto"/>
              <w:right w:val="single" w:sz="8" w:color="auto"/>
            </w:tcBorders>
          </w:tcPr>
          <w:p>
            <w:pPr>
              <w:spacing w:after="0"/>
              <w:rPr>
                <w:sz w:val="18"/>
                <w:szCs w:val="18"/>
                <w:color w:val="auto"/>
              </w:rPr>
            </w:pPr>
          </w:p>
        </w:tc>
        <w:tc>
          <w:tcPr>
            <w:tcW w:w="5480" w:type="dxa"/>
            <w:vAlign w:val="bottom"/>
            <w:tcBorders>
              <w:bottom w:val="single" w:sz="8" w:color="auto"/>
              <w:right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1020" w:type="dxa"/>
            <w:vAlign w:val="bottom"/>
            <w:tcBorders>
              <w:left w:val="single" w:sz="8" w:color="auto"/>
              <w:right w:val="single" w:sz="8" w:color="auto"/>
            </w:tcBorders>
          </w:tcPr>
          <w:p>
            <w:pPr>
              <w:spacing w:after="0"/>
              <w:rPr>
                <w:sz w:val="21"/>
                <w:szCs w:val="21"/>
                <w:color w:val="auto"/>
              </w:rPr>
            </w:pPr>
          </w:p>
        </w:tc>
        <w:tc>
          <w:tcPr>
            <w:tcW w:w="3020" w:type="dxa"/>
            <w:vAlign w:val="bottom"/>
            <w:tcBorders>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8"/>
              </w:rPr>
              <w:t>Yoshie Nakamura</w:t>
            </w:r>
          </w:p>
        </w:tc>
        <w:tc>
          <w:tcPr>
            <w:tcW w:w="5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(Career summary and position)</w:t>
            </w:r>
          </w:p>
        </w:tc>
        <w:tc>
          <w:tcPr>
            <w:tcW w:w="17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020" w:type="dxa"/>
            <w:vAlign w:val="bottom"/>
            <w:tcBorders>
              <w:left w:val="single" w:sz="8" w:color="auto"/>
              <w:right w:val="single" w:sz="8" w:color="auto"/>
            </w:tcBorders>
          </w:tcPr>
          <w:p>
            <w:pPr>
              <w:spacing w:after="0"/>
              <w:rPr>
                <w:sz w:val="18"/>
                <w:szCs w:val="18"/>
                <w:color w:val="auto"/>
              </w:rPr>
            </w:pPr>
          </w:p>
        </w:tc>
        <w:tc>
          <w:tcPr>
            <w:tcW w:w="3020" w:type="dxa"/>
            <w:vAlign w:val="bottom"/>
            <w:tcBorders>
              <w:right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w w:val="99"/>
              </w:rPr>
              <w:t>(November 8, 1978)</w:t>
            </w:r>
          </w:p>
        </w:tc>
        <w:tc>
          <w:tcPr>
            <w:tcW w:w="548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20" w:type="dxa"/>
            <w:vAlign w:val="bottom"/>
            <w:tcBorders>
              <w:left w:val="single" w:sz="8" w:color="auto"/>
              <w:right w:val="single" w:sz="8" w:color="auto"/>
            </w:tcBorders>
          </w:tcPr>
          <w:p>
            <w:pPr>
              <w:spacing w:after="0"/>
              <w:rPr>
                <w:sz w:val="20"/>
                <w:szCs w:val="20"/>
                <w:color w:val="auto"/>
              </w:rPr>
            </w:pPr>
          </w:p>
        </w:tc>
        <w:tc>
          <w:tcPr>
            <w:tcW w:w="3020" w:type="dxa"/>
            <w:vAlign w:val="bottom"/>
            <w:tcBorders>
              <w:right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rPr>
              <w:t>New Appointment</w:t>
            </w:r>
          </w:p>
        </w:tc>
        <w:tc>
          <w:tcPr>
            <w:tcW w:w="5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March 2017 Joined Shinichi Shoji Co., Ltd.</w:t>
            </w:r>
          </w:p>
        </w:tc>
        <w:tc>
          <w:tcPr>
            <w:tcW w:w="1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20" w:type="dxa"/>
            <w:vAlign w:val="bottom"/>
            <w:tcBorders>
              <w:left w:val="single" w:sz="8" w:color="auto"/>
              <w:right w:val="single" w:sz="8" w:color="auto"/>
            </w:tcBorders>
          </w:tcPr>
          <w:p>
            <w:pPr>
              <w:spacing w:after="0"/>
              <w:rPr>
                <w:sz w:val="24"/>
                <w:szCs w:val="24"/>
                <w:color w:val="auto"/>
              </w:rPr>
            </w:pPr>
          </w:p>
        </w:tc>
        <w:tc>
          <w:tcPr>
            <w:tcW w:w="30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November 2022 Retired from Shinichi Shoji Co., Ltd.</w:t>
            </w:r>
          </w:p>
        </w:tc>
        <w:tc>
          <w:tcPr>
            <w:tcW w:w="1720" w:type="dxa"/>
            <w:vAlign w:val="bottom"/>
            <w:tcBorders>
              <w:right w:val="single" w:sz="8" w:color="auto"/>
            </w:tcBorders>
            <w:vMerge w:val="restart"/>
          </w:tcPr>
          <w:p>
            <w:pPr>
              <w:ind w:left="1060"/>
              <w:spacing w:after="0"/>
              <w:rPr>
                <w:sz w:val="20"/>
                <w:szCs w:val="20"/>
                <w:color w:val="auto"/>
              </w:rPr>
            </w:pPr>
            <w:r>
              <w:rPr>
                <w:rFonts w:ascii="Times New Roman" w:cs="Times New Roman" w:eastAsia="Times New Roman" w:hAnsi="Times New Roman"/>
                <w:sz w:val="18"/>
                <w:szCs w:val="18"/>
                <w:color w:val="auto"/>
              </w:rPr>
              <w:t>0 shares</w:t>
            </w:r>
          </w:p>
        </w:tc>
        <w:tc>
          <w:tcPr>
            <w:tcW w:w="0" w:type="dxa"/>
            <w:vAlign w:val="bottom"/>
          </w:tcPr>
          <w:p>
            <w:pPr>
              <w:spacing w:after="0"/>
              <w:rPr>
                <w:sz w:val="1"/>
                <w:szCs w:val="1"/>
                <w:color w:val="auto"/>
              </w:rPr>
            </w:pPr>
          </w:p>
        </w:tc>
      </w:tr>
      <w:tr>
        <w:trPr>
          <w:trHeight w:val="216"/>
        </w:trPr>
        <w:tc>
          <w:tcPr>
            <w:tcW w:w="1020" w:type="dxa"/>
            <w:vAlign w:val="bottom"/>
            <w:tcBorders>
              <w:left w:val="single" w:sz="8" w:color="auto"/>
              <w:right w:val="single" w:sz="8" w:color="auto"/>
            </w:tcBorders>
          </w:tcPr>
          <w:p>
            <w:pPr>
              <w:spacing w:after="0"/>
              <w:rPr>
                <w:sz w:val="18"/>
                <w:szCs w:val="18"/>
                <w:color w:val="auto"/>
              </w:rPr>
            </w:pPr>
          </w:p>
        </w:tc>
        <w:tc>
          <w:tcPr>
            <w:tcW w:w="30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July 2023 Joined Kosei Co., Ltd.</w:t>
            </w:r>
          </w:p>
        </w:tc>
        <w:tc>
          <w:tcPr>
            <w:tcW w:w="172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Borders>
              <w:left w:val="single" w:sz="8" w:color="auto"/>
              <w:right w:val="single" w:sz="8" w:color="auto"/>
            </w:tcBorders>
            <w:vMerge w:val="restart"/>
          </w:tcPr>
          <w:p>
            <w:pPr>
              <w:jc w:val="right"/>
              <w:ind w:right="330"/>
              <w:spacing w:after="0"/>
              <w:rPr>
                <w:sz w:val="20"/>
                <w:szCs w:val="20"/>
                <w:color w:val="auto"/>
              </w:rPr>
            </w:pPr>
            <w:r>
              <w:rPr>
                <w:rFonts w:ascii="Times New Roman" w:cs="Times New Roman" w:eastAsia="Times New Roman" w:hAnsi="Times New Roman"/>
                <w:sz w:val="18"/>
                <w:szCs w:val="18"/>
                <w:color w:val="auto"/>
              </w:rPr>
              <w:t>3</w:t>
            </w:r>
          </w:p>
        </w:tc>
        <w:tc>
          <w:tcPr>
            <w:tcW w:w="30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vMerge w:val="continue"/>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020" w:type="dxa"/>
            <w:vAlign w:val="bottom"/>
            <w:tcBorders>
              <w:left w:val="single" w:sz="8" w:color="auto"/>
              <w:right w:val="single" w:sz="8" w:color="auto"/>
            </w:tcBorders>
            <w:vMerge w:val="continue"/>
          </w:tcPr>
          <w:p>
            <w:pPr>
              <w:spacing w:after="0"/>
              <w:rPr>
                <w:sz w:val="9"/>
                <w:szCs w:val="9"/>
                <w:color w:val="auto"/>
              </w:rPr>
            </w:pPr>
          </w:p>
        </w:tc>
        <w:tc>
          <w:tcPr>
            <w:tcW w:w="3020" w:type="dxa"/>
            <w:vAlign w:val="bottom"/>
            <w:tcBorders>
              <w:right w:val="single" w:sz="8" w:color="auto"/>
            </w:tcBorders>
          </w:tcPr>
          <w:p>
            <w:pPr>
              <w:spacing w:after="0"/>
              <w:rPr>
                <w:sz w:val="9"/>
                <w:szCs w:val="9"/>
                <w:color w:val="auto"/>
              </w:rPr>
            </w:pPr>
          </w:p>
        </w:tc>
        <w:tc>
          <w:tcPr>
            <w:tcW w:w="5480" w:type="dxa"/>
            <w:vAlign w:val="bottom"/>
            <w:tcBorders>
              <w:right w:val="single" w:sz="8" w:color="auto"/>
            </w:tcBorders>
          </w:tcPr>
          <w:p>
            <w:pPr>
              <w:spacing w:after="0"/>
              <w:rPr>
                <w:sz w:val="9"/>
                <w:szCs w:val="9"/>
                <w:color w:val="auto"/>
              </w:rPr>
            </w:pPr>
          </w:p>
        </w:tc>
        <w:tc>
          <w:tcPr>
            <w:tcW w:w="17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6"/>
        </w:trPr>
        <w:tc>
          <w:tcPr>
            <w:tcW w:w="1020" w:type="dxa"/>
            <w:vAlign w:val="bottom"/>
            <w:tcBorders>
              <w:left w:val="single" w:sz="8" w:color="auto"/>
              <w:right w:val="single" w:sz="8" w:color="auto"/>
            </w:tcBorders>
          </w:tcPr>
          <w:p>
            <w:pPr>
              <w:spacing w:after="0"/>
              <w:rPr>
                <w:sz w:val="24"/>
                <w:szCs w:val="24"/>
                <w:color w:val="auto"/>
              </w:rPr>
            </w:pPr>
          </w:p>
        </w:tc>
        <w:tc>
          <w:tcPr>
            <w:tcW w:w="30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(Significant Concurrent Positions)</w:t>
            </w: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020" w:type="dxa"/>
            <w:vAlign w:val="bottom"/>
            <w:tcBorders>
              <w:left w:val="single" w:sz="8" w:color="auto"/>
              <w:right w:val="single" w:sz="8" w:color="auto"/>
            </w:tcBorders>
          </w:tcPr>
          <w:p>
            <w:pPr>
              <w:spacing w:after="0"/>
              <w:rPr>
                <w:sz w:val="20"/>
                <w:szCs w:val="20"/>
                <w:color w:val="auto"/>
              </w:rPr>
            </w:pPr>
          </w:p>
        </w:tc>
        <w:tc>
          <w:tcPr>
            <w:tcW w:w="3020" w:type="dxa"/>
            <w:vAlign w:val="bottom"/>
            <w:tcBorders>
              <w:right w:val="single" w:sz="8" w:color="auto"/>
            </w:tcBorders>
          </w:tcPr>
          <w:p>
            <w:pPr>
              <w:spacing w:after="0"/>
              <w:rPr>
                <w:sz w:val="20"/>
                <w:szCs w:val="20"/>
                <w:color w:val="auto"/>
              </w:rPr>
            </w:pPr>
          </w:p>
        </w:tc>
        <w:tc>
          <w:tcPr>
            <w:tcW w:w="5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None</w:t>
            </w:r>
          </w:p>
        </w:tc>
        <w:tc>
          <w:tcPr>
            <w:tcW w:w="1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020" w:type="dxa"/>
            <w:vAlign w:val="bottom"/>
            <w:tcBorders>
              <w:left w:val="single" w:sz="8" w:color="auto"/>
              <w:right w:val="single" w:sz="8" w:color="auto"/>
            </w:tcBorders>
          </w:tcPr>
          <w:p>
            <w:pPr>
              <w:spacing w:after="0"/>
              <w:rPr>
                <w:sz w:val="24"/>
                <w:szCs w:val="24"/>
                <w:color w:val="auto"/>
              </w:rPr>
            </w:pPr>
          </w:p>
        </w:tc>
        <w:tc>
          <w:tcPr>
            <w:tcW w:w="30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(Special Interests with our Company)</w:t>
            </w: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020" w:type="dxa"/>
            <w:vAlign w:val="bottom"/>
            <w:tcBorders>
              <w:left w:val="single" w:sz="8" w:color="auto"/>
              <w:right w:val="single" w:sz="8" w:color="auto"/>
            </w:tcBorders>
          </w:tcPr>
          <w:p>
            <w:pPr>
              <w:spacing w:after="0"/>
              <w:rPr>
                <w:sz w:val="20"/>
                <w:szCs w:val="20"/>
                <w:color w:val="auto"/>
              </w:rPr>
            </w:pPr>
          </w:p>
        </w:tc>
        <w:tc>
          <w:tcPr>
            <w:tcW w:w="3020" w:type="dxa"/>
            <w:vAlign w:val="bottom"/>
            <w:tcBorders>
              <w:right w:val="single" w:sz="8" w:color="auto"/>
            </w:tcBorders>
          </w:tcPr>
          <w:p>
            <w:pPr>
              <w:spacing w:after="0"/>
              <w:rPr>
                <w:sz w:val="20"/>
                <w:szCs w:val="20"/>
                <w:color w:val="auto"/>
              </w:rPr>
            </w:pPr>
          </w:p>
        </w:tc>
        <w:tc>
          <w:tcPr>
            <w:tcW w:w="5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None</w:t>
            </w:r>
          </w:p>
        </w:tc>
        <w:tc>
          <w:tcPr>
            <w:tcW w:w="1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20" w:type="dxa"/>
            <w:vAlign w:val="bottom"/>
            <w:tcBorders>
              <w:left w:val="single" w:sz="8" w:color="auto"/>
              <w:bottom w:val="single" w:sz="8" w:color="auto"/>
              <w:right w:val="single" w:sz="8" w:color="auto"/>
            </w:tcBorders>
          </w:tcPr>
          <w:p>
            <w:pPr>
              <w:spacing w:after="0"/>
              <w:rPr>
                <w:sz w:val="18"/>
                <w:szCs w:val="18"/>
                <w:color w:val="auto"/>
              </w:rPr>
            </w:pPr>
          </w:p>
        </w:tc>
        <w:tc>
          <w:tcPr>
            <w:tcW w:w="3020" w:type="dxa"/>
            <w:vAlign w:val="bottom"/>
            <w:tcBorders>
              <w:bottom w:val="single" w:sz="8" w:color="auto"/>
              <w:right w:val="single" w:sz="8" w:color="auto"/>
            </w:tcBorders>
          </w:tcPr>
          <w:p>
            <w:pPr>
              <w:spacing w:after="0"/>
              <w:rPr>
                <w:sz w:val="18"/>
                <w:szCs w:val="18"/>
                <w:color w:val="auto"/>
              </w:rPr>
            </w:pPr>
          </w:p>
        </w:tc>
        <w:tc>
          <w:tcPr>
            <w:tcW w:w="5480" w:type="dxa"/>
            <w:vAlign w:val="bottom"/>
            <w:tcBorders>
              <w:bottom w:val="single" w:sz="8" w:color="auto"/>
              <w:right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332"/>
        <w:spacing w:after="0" w:line="282"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Among the above candidates, Mr. Akira Kotajima and Ms. Yoshie Nakamura are candidates for Outside Corporate Auditor as defined in Article 2, Item 16 of the Companies Act.</w:t>
      </w:r>
    </w:p>
    <w:p>
      <w:pPr>
        <w:spacing w:after="0" w:line="377" w:lineRule="exact"/>
        <w:rPr>
          <w:rFonts w:ascii="Times New Roman" w:cs="Times New Roman" w:eastAsia="Times New Roman" w:hAnsi="Times New Roman"/>
          <w:sz w:val="18"/>
          <w:szCs w:val="18"/>
          <w:color w:val="auto"/>
        </w:rPr>
      </w:pPr>
    </w:p>
    <w:p>
      <w:pPr>
        <w:ind w:left="5580" w:hanging="106"/>
        <w:spacing w:after="0"/>
        <w:tabs>
          <w:tab w:leader="none" w:pos="55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Appendix</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1000" w:type="dxa"/>
            <w:vAlign w:val="bottom"/>
            <w:tcBorders>
              <w:top w:val="single" w:sz="8" w:color="auto"/>
              <w:left w:val="single" w:sz="8" w:color="auto"/>
              <w:bottom w:val="single" w:sz="8" w:color="auto"/>
            </w:tcBorders>
          </w:tcPr>
          <w:p>
            <w:pPr>
              <w:spacing w:after="0"/>
              <w:rPr>
                <w:sz w:val="19"/>
                <w:szCs w:val="19"/>
                <w:color w:val="auto"/>
              </w:rPr>
            </w:pPr>
          </w:p>
        </w:tc>
        <w:tc>
          <w:tcPr>
            <w:tcW w:w="4640" w:type="dxa"/>
            <w:vAlign w:val="bottom"/>
            <w:tcBorders>
              <w:top w:val="single" w:sz="8" w:color="auto"/>
              <w:bottom w:val="single" w:sz="8" w:color="auto"/>
              <w:right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Current Articles of Incorporation</w:t>
            </w:r>
          </w:p>
        </w:tc>
        <w:tc>
          <w:tcPr>
            <w:tcW w:w="1020" w:type="dxa"/>
            <w:vAlign w:val="bottom"/>
            <w:tcBorders>
              <w:top w:val="single" w:sz="8" w:color="auto"/>
              <w:bottom w:val="single" w:sz="8" w:color="auto"/>
            </w:tcBorders>
          </w:tcPr>
          <w:p>
            <w:pPr>
              <w:spacing w:after="0"/>
              <w:rPr>
                <w:sz w:val="19"/>
                <w:szCs w:val="19"/>
                <w:color w:val="auto"/>
              </w:rPr>
            </w:pPr>
          </w:p>
        </w:tc>
        <w:tc>
          <w:tcPr>
            <w:tcW w:w="4580" w:type="dxa"/>
            <w:vAlign w:val="bottom"/>
            <w:tcBorders>
              <w:top w:val="single" w:sz="8" w:color="auto"/>
              <w:bottom w:val="single" w:sz="8" w:color="auto"/>
              <w:right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Proposed Amendments</w:t>
            </w:r>
          </w:p>
        </w:tc>
      </w:tr>
      <w:tr>
        <w:trPr>
          <w:trHeight w:val="228"/>
        </w:trPr>
        <w:tc>
          <w:tcPr>
            <w:tcW w:w="100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(Organs)</w:t>
            </w:r>
          </w:p>
        </w:tc>
        <w:tc>
          <w:tcPr>
            <w:tcW w:w="4640" w:type="dxa"/>
            <w:vAlign w:val="bottom"/>
            <w:tcBorders>
              <w:right w:val="single" w:sz="8" w:color="auto"/>
            </w:tcBorders>
          </w:tcPr>
          <w:p>
            <w:pPr>
              <w:spacing w:after="0"/>
              <w:rPr>
                <w:sz w:val="19"/>
                <w:szCs w:val="19"/>
                <w:color w:val="auto"/>
              </w:rPr>
            </w:pPr>
          </w:p>
        </w:tc>
        <w:tc>
          <w:tcPr>
            <w:tcW w:w="1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(Organs)</w:t>
            </w:r>
          </w:p>
        </w:tc>
        <w:tc>
          <w:tcPr>
            <w:tcW w:w="4580" w:type="dxa"/>
            <w:vAlign w:val="bottom"/>
            <w:tcBorders>
              <w:right w:val="single" w:sz="8" w:color="auto"/>
            </w:tcBorders>
          </w:tcPr>
          <w:p>
            <w:pPr>
              <w:spacing w:after="0"/>
              <w:rPr>
                <w:sz w:val="19"/>
                <w:szCs w:val="19"/>
                <w:color w:val="auto"/>
              </w:rPr>
            </w:pPr>
          </w:p>
        </w:tc>
      </w:tr>
      <w:tr>
        <w:trPr>
          <w:trHeight w:val="395"/>
        </w:trPr>
        <w:tc>
          <w:tcPr>
            <w:tcW w:w="100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Article 4</w:t>
            </w:r>
          </w:p>
        </w:tc>
        <w:tc>
          <w:tcPr>
            <w:tcW w:w="464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In addition to the General Meeting of Shareholders and</w:t>
            </w:r>
          </w:p>
        </w:tc>
        <w:tc>
          <w:tcPr>
            <w:tcW w:w="1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Article 4</w:t>
            </w:r>
          </w:p>
        </w:tc>
        <w:tc>
          <w:tcPr>
            <w:tcW w:w="458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In addition to the General Meeting of Shareholders and</w:t>
            </w:r>
          </w:p>
        </w:tc>
      </w:tr>
      <w:tr>
        <w:trPr>
          <w:trHeight w:val="216"/>
        </w:trPr>
        <w:tc>
          <w:tcPr>
            <w:tcW w:w="1000" w:type="dxa"/>
            <w:vAlign w:val="bottom"/>
            <w:tcBorders>
              <w:left w:val="single" w:sz="8" w:color="auto"/>
            </w:tcBorders>
          </w:tcPr>
          <w:p>
            <w:pPr>
              <w:spacing w:after="0"/>
              <w:rPr>
                <w:sz w:val="18"/>
                <w:szCs w:val="18"/>
                <w:color w:val="auto"/>
              </w:rPr>
            </w:pPr>
          </w:p>
        </w:tc>
        <w:tc>
          <w:tcPr>
            <w:tcW w:w="464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Directors,  the  Company  shall  establish  the  following</w:t>
            </w:r>
          </w:p>
        </w:tc>
        <w:tc>
          <w:tcPr>
            <w:tcW w:w="1020" w:type="dxa"/>
            <w:vAlign w:val="bottom"/>
          </w:tcPr>
          <w:p>
            <w:pPr>
              <w:spacing w:after="0"/>
              <w:rPr>
                <w:sz w:val="18"/>
                <w:szCs w:val="18"/>
                <w:color w:val="auto"/>
              </w:rPr>
            </w:pPr>
          </w:p>
        </w:tc>
        <w:tc>
          <w:tcPr>
            <w:tcW w:w="458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Directors,  the  Company  shall  establish  the  following</w:t>
            </w:r>
          </w:p>
        </w:tc>
      </w:tr>
      <w:tr>
        <w:trPr>
          <w:trHeight w:val="234"/>
        </w:trPr>
        <w:tc>
          <w:tcPr>
            <w:tcW w:w="1000" w:type="dxa"/>
            <w:vAlign w:val="bottom"/>
            <w:tcBorders>
              <w:left w:val="single" w:sz="8" w:color="auto"/>
            </w:tcBorders>
          </w:tcPr>
          <w:p>
            <w:pPr>
              <w:spacing w:after="0"/>
              <w:rPr>
                <w:sz w:val="20"/>
                <w:szCs w:val="20"/>
                <w:color w:val="auto"/>
              </w:rPr>
            </w:pPr>
          </w:p>
        </w:tc>
        <w:tc>
          <w:tcPr>
            <w:tcW w:w="464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organs:</w:t>
            </w:r>
          </w:p>
        </w:tc>
        <w:tc>
          <w:tcPr>
            <w:tcW w:w="1020" w:type="dxa"/>
            <w:vAlign w:val="bottom"/>
          </w:tcPr>
          <w:p>
            <w:pPr>
              <w:spacing w:after="0"/>
              <w:rPr>
                <w:sz w:val="20"/>
                <w:szCs w:val="20"/>
                <w:color w:val="auto"/>
              </w:rPr>
            </w:pPr>
          </w:p>
        </w:tc>
        <w:tc>
          <w:tcPr>
            <w:tcW w:w="458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organs:</w:t>
            </w:r>
          </w:p>
        </w:tc>
      </w:tr>
      <w:tr>
        <w:trPr>
          <w:trHeight w:val="432"/>
        </w:trPr>
        <w:tc>
          <w:tcPr>
            <w:tcW w:w="1000" w:type="dxa"/>
            <w:vAlign w:val="bottom"/>
            <w:tcBorders>
              <w:left w:val="single" w:sz="8" w:color="auto"/>
            </w:tcBorders>
          </w:tcPr>
          <w:p>
            <w:pPr>
              <w:spacing w:after="0"/>
              <w:rPr>
                <w:sz w:val="24"/>
                <w:szCs w:val="24"/>
                <w:color w:val="auto"/>
              </w:rPr>
            </w:pPr>
          </w:p>
        </w:tc>
        <w:tc>
          <w:tcPr>
            <w:tcW w:w="464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1.Board of Directors</w:t>
            </w:r>
          </w:p>
        </w:tc>
        <w:tc>
          <w:tcPr>
            <w:tcW w:w="1020" w:type="dxa"/>
            <w:vAlign w:val="bottom"/>
          </w:tcPr>
          <w:p>
            <w:pPr>
              <w:spacing w:after="0"/>
              <w:rPr>
                <w:sz w:val="24"/>
                <w:szCs w:val="24"/>
                <w:color w:val="auto"/>
              </w:rPr>
            </w:pPr>
          </w:p>
        </w:tc>
        <w:tc>
          <w:tcPr>
            <w:tcW w:w="458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1.Board of Directors</w:t>
            </w:r>
          </w:p>
        </w:tc>
      </w:tr>
      <w:tr>
        <w:trPr>
          <w:trHeight w:val="432"/>
        </w:trPr>
        <w:tc>
          <w:tcPr>
            <w:tcW w:w="1000" w:type="dxa"/>
            <w:vAlign w:val="bottom"/>
            <w:tcBorders>
              <w:left w:val="single" w:sz="8" w:color="auto"/>
            </w:tcBorders>
          </w:tcPr>
          <w:p>
            <w:pPr>
              <w:spacing w:after="0"/>
              <w:rPr>
                <w:sz w:val="24"/>
                <w:szCs w:val="24"/>
                <w:color w:val="auto"/>
              </w:rPr>
            </w:pPr>
          </w:p>
        </w:tc>
        <w:tc>
          <w:tcPr>
            <w:tcW w:w="464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2.Corporate Auditors</w:t>
            </w:r>
          </w:p>
        </w:tc>
        <w:tc>
          <w:tcPr>
            <w:tcW w:w="1020" w:type="dxa"/>
            <w:vAlign w:val="bottom"/>
          </w:tcPr>
          <w:p>
            <w:pPr>
              <w:spacing w:after="0"/>
              <w:rPr>
                <w:sz w:val="24"/>
                <w:szCs w:val="24"/>
                <w:color w:val="auto"/>
              </w:rPr>
            </w:pPr>
          </w:p>
        </w:tc>
        <w:tc>
          <w:tcPr>
            <w:tcW w:w="458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2.Corporate Auditors</w:t>
            </w:r>
          </w:p>
        </w:tc>
      </w:tr>
      <w:tr>
        <w:trPr>
          <w:trHeight w:val="432"/>
        </w:trPr>
        <w:tc>
          <w:tcPr>
            <w:tcW w:w="1000" w:type="dxa"/>
            <w:vAlign w:val="bottom"/>
            <w:tcBorders>
              <w:left w:val="single" w:sz="8" w:color="auto"/>
            </w:tcBorders>
          </w:tcPr>
          <w:p>
            <w:pPr>
              <w:spacing w:after="0"/>
              <w:rPr>
                <w:sz w:val="24"/>
                <w:szCs w:val="24"/>
                <w:color w:val="auto"/>
              </w:rPr>
            </w:pPr>
          </w:p>
        </w:tc>
        <w:tc>
          <w:tcPr>
            <w:tcW w:w="4640" w:type="dxa"/>
            <w:vAlign w:val="bottom"/>
            <w:tcBorders>
              <w:right w:val="single" w:sz="8" w:color="auto"/>
            </w:tcBorders>
          </w:tcPr>
          <w:p>
            <w:pPr>
              <w:spacing w:after="0"/>
              <w:rPr>
                <w:sz w:val="24"/>
                <w:szCs w:val="24"/>
                <w:color w:val="auto"/>
              </w:rPr>
            </w:pPr>
          </w:p>
        </w:tc>
        <w:tc>
          <w:tcPr>
            <w:tcW w:w="1020" w:type="dxa"/>
            <w:vAlign w:val="bottom"/>
          </w:tcPr>
          <w:p>
            <w:pPr>
              <w:spacing w:after="0"/>
              <w:rPr>
                <w:sz w:val="24"/>
                <w:szCs w:val="24"/>
                <w:color w:val="auto"/>
              </w:rPr>
            </w:pPr>
          </w:p>
        </w:tc>
        <w:tc>
          <w:tcPr>
            <w:tcW w:w="458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3.Board of Corporate Auditors</w:t>
            </w:r>
          </w:p>
        </w:tc>
      </w:tr>
      <w:tr>
        <w:trPr>
          <w:trHeight w:val="432"/>
        </w:trPr>
        <w:tc>
          <w:tcPr>
            <w:tcW w:w="1000" w:type="dxa"/>
            <w:vAlign w:val="bottom"/>
            <w:tcBorders>
              <w:left w:val="single" w:sz="8" w:color="auto"/>
            </w:tcBorders>
          </w:tcPr>
          <w:p>
            <w:pPr>
              <w:spacing w:after="0"/>
              <w:rPr>
                <w:sz w:val="24"/>
                <w:szCs w:val="24"/>
                <w:color w:val="auto"/>
              </w:rPr>
            </w:pPr>
          </w:p>
        </w:tc>
        <w:tc>
          <w:tcPr>
            <w:tcW w:w="4640" w:type="dxa"/>
            <w:vAlign w:val="bottom"/>
            <w:tcBorders>
              <w:right w:val="single" w:sz="8" w:color="auto"/>
            </w:tcBorders>
          </w:tcPr>
          <w:p>
            <w:pPr>
              <w:spacing w:after="0"/>
              <w:rPr>
                <w:sz w:val="24"/>
                <w:szCs w:val="24"/>
                <w:color w:val="auto"/>
              </w:rPr>
            </w:pPr>
          </w:p>
        </w:tc>
        <w:tc>
          <w:tcPr>
            <w:tcW w:w="1020" w:type="dxa"/>
            <w:vAlign w:val="bottom"/>
          </w:tcPr>
          <w:p>
            <w:pPr>
              <w:spacing w:after="0"/>
              <w:rPr>
                <w:sz w:val="24"/>
                <w:szCs w:val="24"/>
                <w:color w:val="auto"/>
              </w:rPr>
            </w:pPr>
          </w:p>
        </w:tc>
        <w:tc>
          <w:tcPr>
            <w:tcW w:w="458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4.Accounting Auditor</w:t>
            </w:r>
          </w:p>
        </w:tc>
      </w:tr>
      <w:tr>
        <w:trPr>
          <w:trHeight w:val="432"/>
        </w:trPr>
        <w:tc>
          <w:tcPr>
            <w:tcW w:w="5640" w:type="dxa"/>
            <w:vAlign w:val="bottom"/>
            <w:tcBorders>
              <w:left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Chapter 5 Corporate Auditors</w:t>
            </w:r>
          </w:p>
        </w:tc>
        <w:tc>
          <w:tcPr>
            <w:tcW w:w="560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Chapter 5 Corporate Auditors</w:t>
            </w:r>
          </w:p>
        </w:tc>
      </w:tr>
      <w:tr>
        <w:trPr>
          <w:trHeight w:val="432"/>
        </w:trPr>
        <w:tc>
          <w:tcPr>
            <w:tcW w:w="5640" w:type="dxa"/>
            <w:vAlign w:val="bottom"/>
            <w:tcBorders>
              <w:left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(Number of Corporate Auditors)</w:t>
            </w:r>
          </w:p>
        </w:tc>
        <w:tc>
          <w:tcPr>
            <w:tcW w:w="560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(Number of Corporate Auditors)</w:t>
            </w:r>
          </w:p>
        </w:tc>
      </w:tr>
      <w:tr>
        <w:trPr>
          <w:trHeight w:val="414"/>
        </w:trPr>
        <w:tc>
          <w:tcPr>
            <w:tcW w:w="100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Article 26</w:t>
            </w:r>
          </w:p>
        </w:tc>
        <w:tc>
          <w:tcPr>
            <w:tcW w:w="464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The Company shall have no more than ten (10) Corporate</w:t>
            </w:r>
          </w:p>
        </w:tc>
        <w:tc>
          <w:tcPr>
            <w:tcW w:w="1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Article 26</w:t>
            </w:r>
          </w:p>
        </w:tc>
        <w:tc>
          <w:tcPr>
            <w:tcW w:w="458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The Company shall have no fewer than three (3) and no</w:t>
            </w:r>
          </w:p>
        </w:tc>
      </w:tr>
      <w:tr>
        <w:trPr>
          <w:trHeight w:val="234"/>
        </w:trPr>
        <w:tc>
          <w:tcPr>
            <w:tcW w:w="1000" w:type="dxa"/>
            <w:vAlign w:val="bottom"/>
            <w:tcBorders>
              <w:left w:val="single" w:sz="8" w:color="auto"/>
            </w:tcBorders>
          </w:tcPr>
          <w:p>
            <w:pPr>
              <w:spacing w:after="0"/>
              <w:rPr>
                <w:sz w:val="20"/>
                <w:szCs w:val="20"/>
                <w:color w:val="auto"/>
              </w:rPr>
            </w:pPr>
          </w:p>
        </w:tc>
        <w:tc>
          <w:tcPr>
            <w:tcW w:w="464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Auditors.</w:t>
            </w:r>
          </w:p>
        </w:tc>
        <w:tc>
          <w:tcPr>
            <w:tcW w:w="1020" w:type="dxa"/>
            <w:vAlign w:val="bottom"/>
          </w:tcPr>
          <w:p>
            <w:pPr>
              <w:spacing w:after="0"/>
              <w:rPr>
                <w:sz w:val="20"/>
                <w:szCs w:val="20"/>
                <w:color w:val="auto"/>
              </w:rPr>
            </w:pPr>
          </w:p>
        </w:tc>
        <w:tc>
          <w:tcPr>
            <w:tcW w:w="458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more than ten (10) Corporate Auditors.</w:t>
            </w:r>
          </w:p>
        </w:tc>
      </w:tr>
      <w:tr>
        <w:trPr>
          <w:trHeight w:val="432"/>
        </w:trPr>
        <w:tc>
          <w:tcPr>
            <w:tcW w:w="5640" w:type="dxa"/>
            <w:vAlign w:val="bottom"/>
            <w:tcBorders>
              <w:left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(Method of Election)</w:t>
            </w:r>
          </w:p>
        </w:tc>
        <w:tc>
          <w:tcPr>
            <w:tcW w:w="560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(Method of Election)</w:t>
            </w:r>
          </w:p>
        </w:tc>
      </w:tr>
      <w:tr>
        <w:trPr>
          <w:trHeight w:val="414"/>
        </w:trPr>
        <w:tc>
          <w:tcPr>
            <w:tcW w:w="100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Article 27</w:t>
            </w:r>
          </w:p>
        </w:tc>
        <w:tc>
          <w:tcPr>
            <w:tcW w:w="464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Resolutions for the election of Corporate Auditors shall be</w:t>
            </w:r>
          </w:p>
        </w:tc>
        <w:tc>
          <w:tcPr>
            <w:tcW w:w="1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Article 27</w:t>
            </w:r>
          </w:p>
        </w:tc>
        <w:tc>
          <w:tcPr>
            <w:tcW w:w="458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Resolutions for the election of Corporate Auditors shall be</w:t>
            </w:r>
          </w:p>
        </w:tc>
      </w:tr>
      <w:tr>
        <w:trPr>
          <w:trHeight w:val="216"/>
        </w:trPr>
        <w:tc>
          <w:tcPr>
            <w:tcW w:w="1000" w:type="dxa"/>
            <w:vAlign w:val="bottom"/>
            <w:tcBorders>
              <w:left w:val="single" w:sz="8" w:color="auto"/>
            </w:tcBorders>
          </w:tcPr>
          <w:p>
            <w:pPr>
              <w:spacing w:after="0"/>
              <w:rPr>
                <w:sz w:val="18"/>
                <w:szCs w:val="18"/>
                <w:color w:val="auto"/>
              </w:rPr>
            </w:pPr>
          </w:p>
        </w:tc>
        <w:tc>
          <w:tcPr>
            <w:tcW w:w="464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adopted at a General Meeting of Shareholders by a majority</w:t>
            </w:r>
          </w:p>
        </w:tc>
        <w:tc>
          <w:tcPr>
            <w:tcW w:w="1020" w:type="dxa"/>
            <w:vAlign w:val="bottom"/>
          </w:tcPr>
          <w:p>
            <w:pPr>
              <w:spacing w:after="0"/>
              <w:rPr>
                <w:sz w:val="18"/>
                <w:szCs w:val="18"/>
                <w:color w:val="auto"/>
              </w:rPr>
            </w:pPr>
          </w:p>
        </w:tc>
        <w:tc>
          <w:tcPr>
            <w:tcW w:w="458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adopted at a General Meeting of Shareholders by a majority</w:t>
            </w:r>
          </w:p>
        </w:tc>
      </w:tr>
      <w:tr>
        <w:trPr>
          <w:trHeight w:val="216"/>
        </w:trPr>
        <w:tc>
          <w:tcPr>
            <w:tcW w:w="1000" w:type="dxa"/>
            <w:vAlign w:val="bottom"/>
            <w:tcBorders>
              <w:left w:val="single" w:sz="8" w:color="auto"/>
            </w:tcBorders>
          </w:tcPr>
          <w:p>
            <w:pPr>
              <w:spacing w:after="0"/>
              <w:rPr>
                <w:sz w:val="18"/>
                <w:szCs w:val="18"/>
                <w:color w:val="auto"/>
              </w:rPr>
            </w:pPr>
          </w:p>
        </w:tc>
        <w:tc>
          <w:tcPr>
            <w:tcW w:w="464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of the voting rights of the shareholders present at the</w:t>
            </w:r>
          </w:p>
        </w:tc>
        <w:tc>
          <w:tcPr>
            <w:tcW w:w="1020" w:type="dxa"/>
            <w:vAlign w:val="bottom"/>
          </w:tcPr>
          <w:p>
            <w:pPr>
              <w:spacing w:after="0"/>
              <w:rPr>
                <w:sz w:val="18"/>
                <w:szCs w:val="18"/>
                <w:color w:val="auto"/>
              </w:rPr>
            </w:pPr>
          </w:p>
        </w:tc>
        <w:tc>
          <w:tcPr>
            <w:tcW w:w="458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of the voting rights of the shareholders present at the</w:t>
            </w:r>
          </w:p>
        </w:tc>
      </w:tr>
      <w:tr>
        <w:trPr>
          <w:trHeight w:val="216"/>
        </w:trPr>
        <w:tc>
          <w:tcPr>
            <w:tcW w:w="1000" w:type="dxa"/>
            <w:vAlign w:val="bottom"/>
            <w:tcBorders>
              <w:left w:val="single" w:sz="8" w:color="auto"/>
            </w:tcBorders>
          </w:tcPr>
          <w:p>
            <w:pPr>
              <w:spacing w:after="0"/>
              <w:rPr>
                <w:sz w:val="18"/>
                <w:szCs w:val="18"/>
                <w:color w:val="auto"/>
              </w:rPr>
            </w:pPr>
          </w:p>
        </w:tc>
        <w:tc>
          <w:tcPr>
            <w:tcW w:w="464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meeting who hold one-third or more of the voting rights</w:t>
            </w:r>
          </w:p>
        </w:tc>
        <w:tc>
          <w:tcPr>
            <w:tcW w:w="1020" w:type="dxa"/>
            <w:vAlign w:val="bottom"/>
          </w:tcPr>
          <w:p>
            <w:pPr>
              <w:spacing w:after="0"/>
              <w:rPr>
                <w:sz w:val="18"/>
                <w:szCs w:val="18"/>
                <w:color w:val="auto"/>
              </w:rPr>
            </w:pPr>
          </w:p>
        </w:tc>
        <w:tc>
          <w:tcPr>
            <w:tcW w:w="458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meeting who hold one-third or more of the voting rights</w:t>
            </w:r>
          </w:p>
        </w:tc>
      </w:tr>
      <w:tr>
        <w:trPr>
          <w:trHeight w:val="234"/>
        </w:trPr>
        <w:tc>
          <w:tcPr>
            <w:tcW w:w="1000" w:type="dxa"/>
            <w:vAlign w:val="bottom"/>
            <w:tcBorders>
              <w:left w:val="single" w:sz="8" w:color="auto"/>
            </w:tcBorders>
          </w:tcPr>
          <w:p>
            <w:pPr>
              <w:spacing w:after="0"/>
              <w:rPr>
                <w:sz w:val="20"/>
                <w:szCs w:val="20"/>
                <w:color w:val="auto"/>
              </w:rPr>
            </w:pPr>
          </w:p>
        </w:tc>
        <w:tc>
          <w:tcPr>
            <w:tcW w:w="464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exercisable by all shareholders.</w:t>
            </w:r>
          </w:p>
        </w:tc>
        <w:tc>
          <w:tcPr>
            <w:tcW w:w="1020" w:type="dxa"/>
            <w:vAlign w:val="bottom"/>
          </w:tcPr>
          <w:p>
            <w:pPr>
              <w:spacing w:after="0"/>
              <w:rPr>
                <w:sz w:val="20"/>
                <w:szCs w:val="20"/>
                <w:color w:val="auto"/>
              </w:rPr>
            </w:pPr>
          </w:p>
        </w:tc>
        <w:tc>
          <w:tcPr>
            <w:tcW w:w="458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exercisable by all shareholders.</w:t>
            </w:r>
          </w:p>
        </w:tc>
      </w:tr>
      <w:tr>
        <w:trPr>
          <w:trHeight w:val="432"/>
        </w:trPr>
        <w:tc>
          <w:tcPr>
            <w:tcW w:w="5640" w:type="dxa"/>
            <w:vAlign w:val="bottom"/>
            <w:tcBorders>
              <w:left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(Term of Office)</w:t>
            </w:r>
          </w:p>
        </w:tc>
        <w:tc>
          <w:tcPr>
            <w:tcW w:w="560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(Term of Office)</w:t>
            </w:r>
          </w:p>
        </w:tc>
      </w:tr>
      <w:tr>
        <w:trPr>
          <w:trHeight w:val="414"/>
        </w:trPr>
        <w:tc>
          <w:tcPr>
            <w:tcW w:w="100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Article 28</w:t>
            </w:r>
          </w:p>
        </w:tc>
        <w:tc>
          <w:tcPr>
            <w:tcW w:w="464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The term of office of a Corporate Auditor shall expire at the</w:t>
            </w:r>
          </w:p>
        </w:tc>
        <w:tc>
          <w:tcPr>
            <w:tcW w:w="1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Article 28</w:t>
            </w:r>
          </w:p>
        </w:tc>
        <w:tc>
          <w:tcPr>
            <w:tcW w:w="458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The term of office of a Corporate Auditor shall expire at the</w:t>
            </w:r>
          </w:p>
        </w:tc>
      </w:tr>
      <w:tr>
        <w:trPr>
          <w:trHeight w:val="216"/>
        </w:trPr>
        <w:tc>
          <w:tcPr>
            <w:tcW w:w="1000" w:type="dxa"/>
            <w:vAlign w:val="bottom"/>
            <w:tcBorders>
              <w:left w:val="single" w:sz="8" w:color="auto"/>
            </w:tcBorders>
          </w:tcPr>
          <w:p>
            <w:pPr>
              <w:spacing w:after="0"/>
              <w:rPr>
                <w:sz w:val="18"/>
                <w:szCs w:val="18"/>
                <w:color w:val="auto"/>
              </w:rPr>
            </w:pPr>
          </w:p>
        </w:tc>
        <w:tc>
          <w:tcPr>
            <w:tcW w:w="464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conclusion  of  the  Ordinary  General  Meeting  of</w:t>
            </w:r>
          </w:p>
        </w:tc>
        <w:tc>
          <w:tcPr>
            <w:tcW w:w="1020" w:type="dxa"/>
            <w:vAlign w:val="bottom"/>
          </w:tcPr>
          <w:p>
            <w:pPr>
              <w:spacing w:after="0"/>
              <w:rPr>
                <w:sz w:val="18"/>
                <w:szCs w:val="18"/>
                <w:color w:val="auto"/>
              </w:rPr>
            </w:pPr>
          </w:p>
        </w:tc>
        <w:tc>
          <w:tcPr>
            <w:tcW w:w="458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conclusion  of  the  Ordinary  General  Meeting  of</w:t>
            </w:r>
          </w:p>
        </w:tc>
      </w:tr>
      <w:tr>
        <w:trPr>
          <w:trHeight w:val="216"/>
        </w:trPr>
        <w:tc>
          <w:tcPr>
            <w:tcW w:w="1000" w:type="dxa"/>
            <w:vAlign w:val="bottom"/>
            <w:tcBorders>
              <w:left w:val="single" w:sz="8" w:color="auto"/>
            </w:tcBorders>
          </w:tcPr>
          <w:p>
            <w:pPr>
              <w:spacing w:after="0"/>
              <w:rPr>
                <w:sz w:val="18"/>
                <w:szCs w:val="18"/>
                <w:color w:val="auto"/>
              </w:rPr>
            </w:pPr>
          </w:p>
        </w:tc>
        <w:tc>
          <w:tcPr>
            <w:tcW w:w="464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Shareholders relating to the final fiscal year ending within</w:t>
            </w:r>
          </w:p>
        </w:tc>
        <w:tc>
          <w:tcPr>
            <w:tcW w:w="1020" w:type="dxa"/>
            <w:vAlign w:val="bottom"/>
          </w:tcPr>
          <w:p>
            <w:pPr>
              <w:spacing w:after="0"/>
              <w:rPr>
                <w:sz w:val="18"/>
                <w:szCs w:val="18"/>
                <w:color w:val="auto"/>
              </w:rPr>
            </w:pPr>
          </w:p>
        </w:tc>
        <w:tc>
          <w:tcPr>
            <w:tcW w:w="458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Shareholders relating to the final fiscal year ending within</w:t>
            </w:r>
          </w:p>
        </w:tc>
      </w:tr>
      <w:tr>
        <w:trPr>
          <w:trHeight w:val="234"/>
        </w:trPr>
        <w:tc>
          <w:tcPr>
            <w:tcW w:w="1000" w:type="dxa"/>
            <w:vAlign w:val="bottom"/>
            <w:tcBorders>
              <w:left w:val="single" w:sz="8" w:color="auto"/>
            </w:tcBorders>
          </w:tcPr>
          <w:p>
            <w:pPr>
              <w:spacing w:after="0"/>
              <w:rPr>
                <w:sz w:val="20"/>
                <w:szCs w:val="20"/>
                <w:color w:val="auto"/>
              </w:rPr>
            </w:pPr>
          </w:p>
        </w:tc>
        <w:tc>
          <w:tcPr>
            <w:tcW w:w="464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four (4) years after the election.</w:t>
            </w:r>
          </w:p>
        </w:tc>
        <w:tc>
          <w:tcPr>
            <w:tcW w:w="1020" w:type="dxa"/>
            <w:vAlign w:val="bottom"/>
          </w:tcPr>
          <w:p>
            <w:pPr>
              <w:spacing w:after="0"/>
              <w:rPr>
                <w:sz w:val="20"/>
                <w:szCs w:val="20"/>
                <w:color w:val="auto"/>
              </w:rPr>
            </w:pPr>
          </w:p>
        </w:tc>
        <w:tc>
          <w:tcPr>
            <w:tcW w:w="458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four (4) years after the election.</w:t>
            </w:r>
          </w:p>
        </w:tc>
      </w:tr>
      <w:tr>
        <w:trPr>
          <w:trHeight w:val="414"/>
        </w:trPr>
        <w:tc>
          <w:tcPr>
            <w:tcW w:w="1000" w:type="dxa"/>
            <w:vAlign w:val="bottom"/>
            <w:tcBorders>
              <w:left w:val="single" w:sz="8" w:color="auto"/>
            </w:tcBorders>
          </w:tcPr>
          <w:p>
            <w:pPr>
              <w:spacing w:after="0"/>
              <w:rPr>
                <w:sz w:val="24"/>
                <w:szCs w:val="24"/>
                <w:color w:val="auto"/>
              </w:rPr>
            </w:pPr>
          </w:p>
        </w:tc>
        <w:tc>
          <w:tcPr>
            <w:tcW w:w="464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2. The term of office of a Corporate Auditor elected as a</w:t>
            </w:r>
          </w:p>
        </w:tc>
        <w:tc>
          <w:tcPr>
            <w:tcW w:w="1020" w:type="dxa"/>
            <w:vAlign w:val="bottom"/>
          </w:tcPr>
          <w:p>
            <w:pPr>
              <w:spacing w:after="0"/>
              <w:rPr>
                <w:sz w:val="24"/>
                <w:szCs w:val="24"/>
                <w:color w:val="auto"/>
              </w:rPr>
            </w:pPr>
          </w:p>
        </w:tc>
        <w:tc>
          <w:tcPr>
            <w:tcW w:w="458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2. The term of office of a Corporate Auditor elected as a</w:t>
            </w:r>
          </w:p>
        </w:tc>
      </w:tr>
      <w:tr>
        <w:trPr>
          <w:trHeight w:val="216"/>
        </w:trPr>
        <w:tc>
          <w:tcPr>
            <w:tcW w:w="1000" w:type="dxa"/>
            <w:vAlign w:val="bottom"/>
            <w:tcBorders>
              <w:left w:val="single" w:sz="8" w:color="auto"/>
            </w:tcBorders>
          </w:tcPr>
          <w:p>
            <w:pPr>
              <w:spacing w:after="0"/>
              <w:rPr>
                <w:sz w:val="18"/>
                <w:szCs w:val="18"/>
                <w:color w:val="auto"/>
              </w:rPr>
            </w:pPr>
          </w:p>
        </w:tc>
        <w:tc>
          <w:tcPr>
            <w:tcW w:w="464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substitute for a Corporate Auditor who retired before the</w:t>
            </w:r>
          </w:p>
        </w:tc>
        <w:tc>
          <w:tcPr>
            <w:tcW w:w="1020" w:type="dxa"/>
            <w:vAlign w:val="bottom"/>
          </w:tcPr>
          <w:p>
            <w:pPr>
              <w:spacing w:after="0"/>
              <w:rPr>
                <w:sz w:val="18"/>
                <w:szCs w:val="18"/>
                <w:color w:val="auto"/>
              </w:rPr>
            </w:pPr>
          </w:p>
        </w:tc>
        <w:tc>
          <w:tcPr>
            <w:tcW w:w="458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substitute for a Corporate Auditor who retired before the</w:t>
            </w:r>
          </w:p>
        </w:tc>
      </w:tr>
      <w:tr>
        <w:trPr>
          <w:trHeight w:val="216"/>
        </w:trPr>
        <w:tc>
          <w:tcPr>
            <w:tcW w:w="1000" w:type="dxa"/>
            <w:vAlign w:val="bottom"/>
            <w:tcBorders>
              <w:left w:val="single" w:sz="8" w:color="auto"/>
            </w:tcBorders>
          </w:tcPr>
          <w:p>
            <w:pPr>
              <w:spacing w:after="0"/>
              <w:rPr>
                <w:sz w:val="18"/>
                <w:szCs w:val="18"/>
                <w:color w:val="auto"/>
              </w:rPr>
            </w:pPr>
          </w:p>
        </w:tc>
        <w:tc>
          <w:tcPr>
            <w:tcW w:w="464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expiration of his or her term shall continue until the</w:t>
            </w:r>
          </w:p>
        </w:tc>
        <w:tc>
          <w:tcPr>
            <w:tcW w:w="1020" w:type="dxa"/>
            <w:vAlign w:val="bottom"/>
          </w:tcPr>
          <w:p>
            <w:pPr>
              <w:spacing w:after="0"/>
              <w:rPr>
                <w:sz w:val="18"/>
                <w:szCs w:val="18"/>
                <w:color w:val="auto"/>
              </w:rPr>
            </w:pPr>
          </w:p>
        </w:tc>
        <w:tc>
          <w:tcPr>
            <w:tcW w:w="458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expiration of his or her term shall continue until the</w:t>
            </w:r>
          </w:p>
        </w:tc>
      </w:tr>
      <w:tr>
        <w:trPr>
          <w:trHeight w:val="216"/>
        </w:trPr>
        <w:tc>
          <w:tcPr>
            <w:tcW w:w="1000" w:type="dxa"/>
            <w:vAlign w:val="bottom"/>
            <w:tcBorders>
              <w:left w:val="single" w:sz="8" w:color="auto"/>
            </w:tcBorders>
          </w:tcPr>
          <w:p>
            <w:pPr>
              <w:spacing w:after="0"/>
              <w:rPr>
                <w:sz w:val="18"/>
                <w:szCs w:val="18"/>
                <w:color w:val="auto"/>
              </w:rPr>
            </w:pPr>
          </w:p>
        </w:tc>
        <w:tc>
          <w:tcPr>
            <w:tcW w:w="464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expiration of the term of office of the retired Corporate</w:t>
            </w:r>
          </w:p>
        </w:tc>
        <w:tc>
          <w:tcPr>
            <w:tcW w:w="1020" w:type="dxa"/>
            <w:vAlign w:val="bottom"/>
          </w:tcPr>
          <w:p>
            <w:pPr>
              <w:spacing w:after="0"/>
              <w:rPr>
                <w:sz w:val="18"/>
                <w:szCs w:val="18"/>
                <w:color w:val="auto"/>
              </w:rPr>
            </w:pPr>
          </w:p>
        </w:tc>
        <w:tc>
          <w:tcPr>
            <w:tcW w:w="458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expiration of the term of office of the retired Corporate</w:t>
            </w:r>
          </w:p>
        </w:tc>
      </w:tr>
      <w:tr>
        <w:trPr>
          <w:trHeight w:val="234"/>
        </w:trPr>
        <w:tc>
          <w:tcPr>
            <w:tcW w:w="1000" w:type="dxa"/>
            <w:vAlign w:val="bottom"/>
            <w:tcBorders>
              <w:left w:val="single" w:sz="8" w:color="auto"/>
            </w:tcBorders>
          </w:tcPr>
          <w:p>
            <w:pPr>
              <w:spacing w:after="0"/>
              <w:rPr>
                <w:sz w:val="20"/>
                <w:szCs w:val="20"/>
                <w:color w:val="auto"/>
              </w:rPr>
            </w:pPr>
          </w:p>
        </w:tc>
        <w:tc>
          <w:tcPr>
            <w:tcW w:w="464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Auditor.</w:t>
            </w:r>
          </w:p>
        </w:tc>
        <w:tc>
          <w:tcPr>
            <w:tcW w:w="1020" w:type="dxa"/>
            <w:vAlign w:val="bottom"/>
          </w:tcPr>
          <w:p>
            <w:pPr>
              <w:spacing w:after="0"/>
              <w:rPr>
                <w:sz w:val="20"/>
                <w:szCs w:val="20"/>
                <w:color w:val="auto"/>
              </w:rPr>
            </w:pPr>
          </w:p>
        </w:tc>
        <w:tc>
          <w:tcPr>
            <w:tcW w:w="458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Auditor.</w:t>
            </w:r>
          </w:p>
        </w:tc>
      </w:tr>
      <w:tr>
        <w:trPr>
          <w:trHeight w:val="432"/>
        </w:trPr>
        <w:tc>
          <w:tcPr>
            <w:tcW w:w="5640" w:type="dxa"/>
            <w:vAlign w:val="bottom"/>
            <w:tcBorders>
              <w:left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(Remuneration, etc.)</w:t>
            </w:r>
          </w:p>
        </w:tc>
        <w:tc>
          <w:tcPr>
            <w:tcW w:w="560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(Remuneration, etc.)</w:t>
            </w:r>
          </w:p>
        </w:tc>
      </w:tr>
      <w:tr>
        <w:trPr>
          <w:trHeight w:val="414"/>
        </w:trPr>
        <w:tc>
          <w:tcPr>
            <w:tcW w:w="100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Article 29</w:t>
            </w:r>
          </w:p>
        </w:tc>
        <w:tc>
          <w:tcPr>
            <w:tcW w:w="464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The remuneration, etc. of Corporate Auditors shall be</w:t>
            </w:r>
          </w:p>
        </w:tc>
        <w:tc>
          <w:tcPr>
            <w:tcW w:w="1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Article 29</w:t>
            </w:r>
          </w:p>
        </w:tc>
        <w:tc>
          <w:tcPr>
            <w:tcW w:w="458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The remuneration, etc. of Corporate Auditors shall be</w:t>
            </w:r>
          </w:p>
        </w:tc>
      </w:tr>
      <w:tr>
        <w:trPr>
          <w:trHeight w:val="216"/>
        </w:trPr>
        <w:tc>
          <w:tcPr>
            <w:tcW w:w="1000" w:type="dxa"/>
            <w:vAlign w:val="bottom"/>
            <w:tcBorders>
              <w:left w:val="single" w:sz="8" w:color="auto"/>
            </w:tcBorders>
          </w:tcPr>
          <w:p>
            <w:pPr>
              <w:spacing w:after="0"/>
              <w:rPr>
                <w:sz w:val="18"/>
                <w:szCs w:val="18"/>
                <w:color w:val="auto"/>
              </w:rPr>
            </w:pPr>
          </w:p>
        </w:tc>
        <w:tc>
          <w:tcPr>
            <w:tcW w:w="464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determined  by  resolution  of  the  General  Meeting  of</w:t>
            </w:r>
          </w:p>
        </w:tc>
        <w:tc>
          <w:tcPr>
            <w:tcW w:w="1020" w:type="dxa"/>
            <w:vAlign w:val="bottom"/>
          </w:tcPr>
          <w:p>
            <w:pPr>
              <w:spacing w:after="0"/>
              <w:rPr>
                <w:sz w:val="18"/>
                <w:szCs w:val="18"/>
                <w:color w:val="auto"/>
              </w:rPr>
            </w:pPr>
          </w:p>
        </w:tc>
        <w:tc>
          <w:tcPr>
            <w:tcW w:w="458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determined  by  resolution  of  the  General  Meeting  of</w:t>
            </w:r>
          </w:p>
        </w:tc>
      </w:tr>
      <w:tr>
        <w:trPr>
          <w:trHeight w:val="234"/>
        </w:trPr>
        <w:tc>
          <w:tcPr>
            <w:tcW w:w="1000" w:type="dxa"/>
            <w:vAlign w:val="bottom"/>
            <w:tcBorders>
              <w:left w:val="single" w:sz="8" w:color="auto"/>
              <w:bottom w:val="single" w:sz="8" w:color="auto"/>
            </w:tcBorders>
          </w:tcPr>
          <w:p>
            <w:pPr>
              <w:spacing w:after="0"/>
              <w:rPr>
                <w:sz w:val="20"/>
                <w:szCs w:val="20"/>
                <w:color w:val="auto"/>
              </w:rPr>
            </w:pPr>
          </w:p>
        </w:tc>
        <w:tc>
          <w:tcPr>
            <w:tcW w:w="4640" w:type="dxa"/>
            <w:vAlign w:val="bottom"/>
            <w:tcBorders>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Shareholders.</w:t>
            </w:r>
          </w:p>
        </w:tc>
        <w:tc>
          <w:tcPr>
            <w:tcW w:w="1020" w:type="dxa"/>
            <w:vAlign w:val="bottom"/>
            <w:tcBorders>
              <w:bottom w:val="single" w:sz="8" w:color="auto"/>
            </w:tcBorders>
          </w:tcPr>
          <w:p>
            <w:pPr>
              <w:spacing w:after="0"/>
              <w:rPr>
                <w:sz w:val="20"/>
                <w:szCs w:val="20"/>
                <w:color w:val="auto"/>
              </w:rPr>
            </w:pPr>
          </w:p>
        </w:tc>
        <w:tc>
          <w:tcPr>
            <w:tcW w:w="4580" w:type="dxa"/>
            <w:vAlign w:val="bottom"/>
            <w:tcBorders>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Shareholders.</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tbl>
      <w:tblPr>
        <w:tblLayout w:type="fixed"/>
        <w:tblInd w:w="10" w:type="dxa"/>
        <w:tblCellMar>
          <w:top w:w="0" w:type="dxa"/>
          <w:left w:w="0" w:type="dxa"/>
          <w:bottom w:w="0" w:type="dxa"/>
          <w:right w:w="0" w:type="dxa"/>
        </w:tblCellMar>
      </w:tblPr>
      <w:tr>
        <w:trPr>
          <w:trHeight w:val="230"/>
        </w:trPr>
        <w:tc>
          <w:tcPr>
            <w:tcW w:w="1000" w:type="dxa"/>
            <w:vAlign w:val="bottom"/>
            <w:tcBorders>
              <w:top w:val="single" w:sz="8" w:color="auto"/>
              <w:left w:val="single" w:sz="8" w:color="auto"/>
              <w:bottom w:val="single" w:sz="8" w:color="auto"/>
            </w:tcBorders>
          </w:tcPr>
          <w:p>
            <w:pPr>
              <w:spacing w:after="0"/>
              <w:rPr>
                <w:sz w:val="19"/>
                <w:szCs w:val="19"/>
                <w:color w:val="auto"/>
              </w:rPr>
            </w:pPr>
          </w:p>
        </w:tc>
        <w:tc>
          <w:tcPr>
            <w:tcW w:w="4640" w:type="dxa"/>
            <w:vAlign w:val="bottom"/>
            <w:tcBorders>
              <w:top w:val="single" w:sz="8" w:color="auto"/>
              <w:bottom w:val="single" w:sz="8" w:color="auto"/>
              <w:right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Current Articles of Incorporation</w:t>
            </w:r>
          </w:p>
        </w:tc>
        <w:tc>
          <w:tcPr>
            <w:tcW w:w="1020" w:type="dxa"/>
            <w:vAlign w:val="bottom"/>
            <w:tcBorders>
              <w:top w:val="single" w:sz="8" w:color="auto"/>
              <w:bottom w:val="single" w:sz="8" w:color="auto"/>
            </w:tcBorders>
          </w:tcPr>
          <w:p>
            <w:pPr>
              <w:spacing w:after="0"/>
              <w:rPr>
                <w:sz w:val="19"/>
                <w:szCs w:val="19"/>
                <w:color w:val="auto"/>
              </w:rPr>
            </w:pPr>
          </w:p>
        </w:tc>
        <w:tc>
          <w:tcPr>
            <w:tcW w:w="4580" w:type="dxa"/>
            <w:vAlign w:val="bottom"/>
            <w:tcBorders>
              <w:top w:val="single" w:sz="8" w:color="auto"/>
              <w:bottom w:val="single" w:sz="8" w:color="auto"/>
              <w:right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Proposed Amendments</w:t>
            </w:r>
          </w:p>
        </w:tc>
      </w:tr>
      <w:tr>
        <w:trPr>
          <w:trHeight w:val="228"/>
        </w:trPr>
        <w:tc>
          <w:tcPr>
            <w:tcW w:w="5640" w:type="dxa"/>
            <w:vAlign w:val="bottom"/>
            <w:tcBorders>
              <w:left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(Exemption from Liability of Corporate Auditors)</w:t>
            </w:r>
          </w:p>
        </w:tc>
        <w:tc>
          <w:tcPr>
            <w:tcW w:w="560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(Exemption from Liability of Corporate Auditors)</w:t>
            </w:r>
          </w:p>
        </w:tc>
      </w:tr>
      <w:tr>
        <w:trPr>
          <w:trHeight w:val="395"/>
        </w:trPr>
        <w:tc>
          <w:tcPr>
            <w:tcW w:w="100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Article 30</w:t>
            </w:r>
          </w:p>
        </w:tc>
        <w:tc>
          <w:tcPr>
            <w:tcW w:w="464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The Company may, by resolution of the Board of Directors,</w:t>
            </w:r>
          </w:p>
        </w:tc>
        <w:tc>
          <w:tcPr>
            <w:tcW w:w="1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Article 30</w:t>
            </w:r>
          </w:p>
        </w:tc>
        <w:tc>
          <w:tcPr>
            <w:tcW w:w="458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The Company may, by resolution of the Board of Directors,</w:t>
            </w:r>
          </w:p>
        </w:tc>
      </w:tr>
      <w:tr>
        <w:trPr>
          <w:trHeight w:val="216"/>
        </w:trPr>
        <w:tc>
          <w:tcPr>
            <w:tcW w:w="1000" w:type="dxa"/>
            <w:vAlign w:val="bottom"/>
            <w:tcBorders>
              <w:left w:val="single" w:sz="8" w:color="auto"/>
            </w:tcBorders>
          </w:tcPr>
          <w:p>
            <w:pPr>
              <w:spacing w:after="0"/>
              <w:rPr>
                <w:sz w:val="18"/>
                <w:szCs w:val="18"/>
                <w:color w:val="auto"/>
              </w:rPr>
            </w:pPr>
          </w:p>
        </w:tc>
        <w:tc>
          <w:tcPr>
            <w:tcW w:w="464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exempt Corporate Auditors (including former Corporate</w:t>
            </w:r>
          </w:p>
        </w:tc>
        <w:tc>
          <w:tcPr>
            <w:tcW w:w="1020" w:type="dxa"/>
            <w:vAlign w:val="bottom"/>
          </w:tcPr>
          <w:p>
            <w:pPr>
              <w:spacing w:after="0"/>
              <w:rPr>
                <w:sz w:val="18"/>
                <w:szCs w:val="18"/>
                <w:color w:val="auto"/>
              </w:rPr>
            </w:pPr>
          </w:p>
        </w:tc>
        <w:tc>
          <w:tcPr>
            <w:tcW w:w="458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exempt Corporate Auditors (including former Corporate</w:t>
            </w:r>
          </w:p>
        </w:tc>
      </w:tr>
      <w:tr>
        <w:trPr>
          <w:trHeight w:val="216"/>
        </w:trPr>
        <w:tc>
          <w:tcPr>
            <w:tcW w:w="1000" w:type="dxa"/>
            <w:vAlign w:val="bottom"/>
            <w:tcBorders>
              <w:left w:val="single" w:sz="8" w:color="auto"/>
            </w:tcBorders>
          </w:tcPr>
          <w:p>
            <w:pPr>
              <w:spacing w:after="0"/>
              <w:rPr>
                <w:sz w:val="18"/>
                <w:szCs w:val="18"/>
                <w:color w:val="auto"/>
              </w:rPr>
            </w:pPr>
          </w:p>
        </w:tc>
        <w:tc>
          <w:tcPr>
            <w:tcW w:w="464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Auditors) from liability for damages under Article 423,</w:t>
            </w:r>
          </w:p>
        </w:tc>
        <w:tc>
          <w:tcPr>
            <w:tcW w:w="1020" w:type="dxa"/>
            <w:vAlign w:val="bottom"/>
          </w:tcPr>
          <w:p>
            <w:pPr>
              <w:spacing w:after="0"/>
              <w:rPr>
                <w:sz w:val="18"/>
                <w:szCs w:val="18"/>
                <w:color w:val="auto"/>
              </w:rPr>
            </w:pPr>
          </w:p>
        </w:tc>
        <w:tc>
          <w:tcPr>
            <w:tcW w:w="458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Auditors) from liability for damages under Article 423,</w:t>
            </w:r>
          </w:p>
        </w:tc>
      </w:tr>
      <w:tr>
        <w:trPr>
          <w:trHeight w:val="216"/>
        </w:trPr>
        <w:tc>
          <w:tcPr>
            <w:tcW w:w="1000" w:type="dxa"/>
            <w:vAlign w:val="bottom"/>
            <w:tcBorders>
              <w:left w:val="single" w:sz="8" w:color="auto"/>
            </w:tcBorders>
          </w:tcPr>
          <w:p>
            <w:pPr>
              <w:spacing w:after="0"/>
              <w:rPr>
                <w:sz w:val="18"/>
                <w:szCs w:val="18"/>
                <w:color w:val="auto"/>
              </w:rPr>
            </w:pPr>
          </w:p>
        </w:tc>
        <w:tc>
          <w:tcPr>
            <w:tcW w:w="464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Paragraph 1 of the Companies Act, to the extent permitted</w:t>
            </w:r>
          </w:p>
        </w:tc>
        <w:tc>
          <w:tcPr>
            <w:tcW w:w="1020" w:type="dxa"/>
            <w:vAlign w:val="bottom"/>
          </w:tcPr>
          <w:p>
            <w:pPr>
              <w:spacing w:after="0"/>
              <w:rPr>
                <w:sz w:val="18"/>
                <w:szCs w:val="18"/>
                <w:color w:val="auto"/>
              </w:rPr>
            </w:pPr>
          </w:p>
        </w:tc>
        <w:tc>
          <w:tcPr>
            <w:tcW w:w="458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Paragraph 1 of the Companies Act, to the extent permitted</w:t>
            </w:r>
          </w:p>
        </w:tc>
      </w:tr>
      <w:tr>
        <w:trPr>
          <w:trHeight w:val="216"/>
        </w:trPr>
        <w:tc>
          <w:tcPr>
            <w:tcW w:w="1000" w:type="dxa"/>
            <w:vAlign w:val="bottom"/>
            <w:tcBorders>
              <w:left w:val="single" w:sz="8" w:color="auto"/>
            </w:tcBorders>
          </w:tcPr>
          <w:p>
            <w:pPr>
              <w:spacing w:after="0"/>
              <w:rPr>
                <w:sz w:val="18"/>
                <w:szCs w:val="18"/>
                <w:color w:val="auto"/>
              </w:rPr>
            </w:pPr>
          </w:p>
        </w:tc>
        <w:tc>
          <w:tcPr>
            <w:tcW w:w="464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by laws and regulations, limited to the amount obtained by</w:t>
            </w:r>
          </w:p>
        </w:tc>
        <w:tc>
          <w:tcPr>
            <w:tcW w:w="1020" w:type="dxa"/>
            <w:vAlign w:val="bottom"/>
          </w:tcPr>
          <w:p>
            <w:pPr>
              <w:spacing w:after="0"/>
              <w:rPr>
                <w:sz w:val="18"/>
                <w:szCs w:val="18"/>
                <w:color w:val="auto"/>
              </w:rPr>
            </w:pPr>
          </w:p>
        </w:tc>
        <w:tc>
          <w:tcPr>
            <w:tcW w:w="458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by laws and regulations, limited to the amount obtained by</w:t>
            </w:r>
          </w:p>
        </w:tc>
      </w:tr>
      <w:tr>
        <w:trPr>
          <w:trHeight w:val="216"/>
        </w:trPr>
        <w:tc>
          <w:tcPr>
            <w:tcW w:w="1000" w:type="dxa"/>
            <w:vAlign w:val="bottom"/>
            <w:tcBorders>
              <w:left w:val="single" w:sz="8" w:color="auto"/>
            </w:tcBorders>
          </w:tcPr>
          <w:p>
            <w:pPr>
              <w:spacing w:after="0"/>
              <w:rPr>
                <w:sz w:val="18"/>
                <w:szCs w:val="18"/>
                <w:color w:val="auto"/>
              </w:rPr>
            </w:pPr>
          </w:p>
        </w:tc>
        <w:tc>
          <w:tcPr>
            <w:tcW w:w="464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deducting the minimum liability amount prescribed by laws</w:t>
            </w:r>
          </w:p>
        </w:tc>
        <w:tc>
          <w:tcPr>
            <w:tcW w:w="1020" w:type="dxa"/>
            <w:vAlign w:val="bottom"/>
          </w:tcPr>
          <w:p>
            <w:pPr>
              <w:spacing w:after="0"/>
              <w:rPr>
                <w:sz w:val="18"/>
                <w:szCs w:val="18"/>
                <w:color w:val="auto"/>
              </w:rPr>
            </w:pPr>
          </w:p>
        </w:tc>
        <w:tc>
          <w:tcPr>
            <w:tcW w:w="458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deducting the minimum liability amount prescribed by laws</w:t>
            </w:r>
          </w:p>
        </w:tc>
      </w:tr>
      <w:tr>
        <w:trPr>
          <w:trHeight w:val="216"/>
        </w:trPr>
        <w:tc>
          <w:tcPr>
            <w:tcW w:w="1000" w:type="dxa"/>
            <w:vAlign w:val="bottom"/>
            <w:tcBorders>
              <w:left w:val="single" w:sz="8" w:color="auto"/>
            </w:tcBorders>
          </w:tcPr>
          <w:p>
            <w:pPr>
              <w:spacing w:after="0"/>
              <w:rPr>
                <w:sz w:val="18"/>
                <w:szCs w:val="18"/>
                <w:color w:val="auto"/>
              </w:rPr>
            </w:pPr>
          </w:p>
        </w:tc>
        <w:tc>
          <w:tcPr>
            <w:tcW w:w="464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and regulations from the total amount of liability for</w:t>
            </w:r>
          </w:p>
        </w:tc>
        <w:tc>
          <w:tcPr>
            <w:tcW w:w="1020" w:type="dxa"/>
            <w:vAlign w:val="bottom"/>
          </w:tcPr>
          <w:p>
            <w:pPr>
              <w:spacing w:after="0"/>
              <w:rPr>
                <w:sz w:val="18"/>
                <w:szCs w:val="18"/>
                <w:color w:val="auto"/>
              </w:rPr>
            </w:pPr>
          </w:p>
        </w:tc>
        <w:tc>
          <w:tcPr>
            <w:tcW w:w="458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and regulations from the total amount of liability for</w:t>
            </w:r>
          </w:p>
        </w:tc>
      </w:tr>
      <w:tr>
        <w:trPr>
          <w:trHeight w:val="234"/>
        </w:trPr>
        <w:tc>
          <w:tcPr>
            <w:tcW w:w="1000" w:type="dxa"/>
            <w:vAlign w:val="bottom"/>
            <w:tcBorders>
              <w:left w:val="single" w:sz="8" w:color="auto"/>
            </w:tcBorders>
          </w:tcPr>
          <w:p>
            <w:pPr>
              <w:spacing w:after="0"/>
              <w:rPr>
                <w:sz w:val="20"/>
                <w:szCs w:val="20"/>
                <w:color w:val="auto"/>
              </w:rPr>
            </w:pPr>
          </w:p>
        </w:tc>
        <w:tc>
          <w:tcPr>
            <w:tcW w:w="464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damages.</w:t>
            </w:r>
          </w:p>
        </w:tc>
        <w:tc>
          <w:tcPr>
            <w:tcW w:w="1020" w:type="dxa"/>
            <w:vAlign w:val="bottom"/>
          </w:tcPr>
          <w:p>
            <w:pPr>
              <w:spacing w:after="0"/>
              <w:rPr>
                <w:sz w:val="20"/>
                <w:szCs w:val="20"/>
                <w:color w:val="auto"/>
              </w:rPr>
            </w:pPr>
          </w:p>
        </w:tc>
        <w:tc>
          <w:tcPr>
            <w:tcW w:w="458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damages.</w:t>
            </w:r>
          </w:p>
        </w:tc>
      </w:tr>
      <w:tr>
        <w:trPr>
          <w:trHeight w:val="414"/>
        </w:trPr>
        <w:tc>
          <w:tcPr>
            <w:tcW w:w="1000" w:type="dxa"/>
            <w:vAlign w:val="bottom"/>
            <w:tcBorders>
              <w:left w:val="single" w:sz="8" w:color="auto"/>
            </w:tcBorders>
          </w:tcPr>
          <w:p>
            <w:pPr>
              <w:spacing w:after="0"/>
              <w:rPr>
                <w:sz w:val="24"/>
                <w:szCs w:val="24"/>
                <w:color w:val="auto"/>
              </w:rPr>
            </w:pPr>
          </w:p>
        </w:tc>
        <w:tc>
          <w:tcPr>
            <w:tcW w:w="464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2. Pursuant to Article 427, Paragraph 1 of the Companies</w:t>
            </w:r>
          </w:p>
        </w:tc>
        <w:tc>
          <w:tcPr>
            <w:tcW w:w="1020" w:type="dxa"/>
            <w:vAlign w:val="bottom"/>
          </w:tcPr>
          <w:p>
            <w:pPr>
              <w:spacing w:after="0"/>
              <w:rPr>
                <w:sz w:val="24"/>
                <w:szCs w:val="24"/>
                <w:color w:val="auto"/>
              </w:rPr>
            </w:pPr>
          </w:p>
        </w:tc>
        <w:tc>
          <w:tcPr>
            <w:tcW w:w="458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2. Pursuant to Article 427, Paragraph 1 of the Companies</w:t>
            </w:r>
          </w:p>
        </w:tc>
      </w:tr>
      <w:tr>
        <w:trPr>
          <w:trHeight w:val="216"/>
        </w:trPr>
        <w:tc>
          <w:tcPr>
            <w:tcW w:w="1000" w:type="dxa"/>
            <w:vAlign w:val="bottom"/>
            <w:tcBorders>
              <w:left w:val="single" w:sz="8" w:color="auto"/>
            </w:tcBorders>
          </w:tcPr>
          <w:p>
            <w:pPr>
              <w:spacing w:after="0"/>
              <w:rPr>
                <w:sz w:val="18"/>
                <w:szCs w:val="18"/>
                <w:color w:val="auto"/>
              </w:rPr>
            </w:pPr>
          </w:p>
        </w:tc>
        <w:tc>
          <w:tcPr>
            <w:tcW w:w="464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Act, the Company may enter into an agreement with a</w:t>
            </w:r>
          </w:p>
        </w:tc>
        <w:tc>
          <w:tcPr>
            <w:tcW w:w="1020" w:type="dxa"/>
            <w:vAlign w:val="bottom"/>
          </w:tcPr>
          <w:p>
            <w:pPr>
              <w:spacing w:after="0"/>
              <w:rPr>
                <w:sz w:val="18"/>
                <w:szCs w:val="18"/>
                <w:color w:val="auto"/>
              </w:rPr>
            </w:pPr>
          </w:p>
        </w:tc>
        <w:tc>
          <w:tcPr>
            <w:tcW w:w="458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Act, the Company may enter into an agreement with a</w:t>
            </w:r>
          </w:p>
        </w:tc>
      </w:tr>
      <w:tr>
        <w:trPr>
          <w:trHeight w:val="216"/>
        </w:trPr>
        <w:tc>
          <w:tcPr>
            <w:tcW w:w="1000" w:type="dxa"/>
            <w:vAlign w:val="bottom"/>
            <w:tcBorders>
              <w:left w:val="single" w:sz="8" w:color="auto"/>
            </w:tcBorders>
          </w:tcPr>
          <w:p>
            <w:pPr>
              <w:spacing w:after="0"/>
              <w:rPr>
                <w:sz w:val="18"/>
                <w:szCs w:val="18"/>
                <w:color w:val="auto"/>
              </w:rPr>
            </w:pPr>
          </w:p>
        </w:tc>
        <w:tc>
          <w:tcPr>
            <w:tcW w:w="464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Corporate Auditor limiting liability for damages arising</w:t>
            </w:r>
          </w:p>
        </w:tc>
        <w:tc>
          <w:tcPr>
            <w:tcW w:w="1020" w:type="dxa"/>
            <w:vAlign w:val="bottom"/>
          </w:tcPr>
          <w:p>
            <w:pPr>
              <w:spacing w:after="0"/>
              <w:rPr>
                <w:sz w:val="18"/>
                <w:szCs w:val="18"/>
                <w:color w:val="auto"/>
              </w:rPr>
            </w:pPr>
          </w:p>
        </w:tc>
        <w:tc>
          <w:tcPr>
            <w:tcW w:w="458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Corporate Auditor limiting liability for damages arising</w:t>
            </w:r>
          </w:p>
        </w:tc>
      </w:tr>
      <w:tr>
        <w:trPr>
          <w:trHeight w:val="216"/>
        </w:trPr>
        <w:tc>
          <w:tcPr>
            <w:tcW w:w="1000" w:type="dxa"/>
            <w:vAlign w:val="bottom"/>
            <w:tcBorders>
              <w:left w:val="single" w:sz="8" w:color="auto"/>
            </w:tcBorders>
          </w:tcPr>
          <w:p>
            <w:pPr>
              <w:spacing w:after="0"/>
              <w:rPr>
                <w:sz w:val="18"/>
                <w:szCs w:val="18"/>
                <w:color w:val="auto"/>
              </w:rPr>
            </w:pPr>
          </w:p>
        </w:tc>
        <w:tc>
          <w:tcPr>
            <w:tcW w:w="464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from negligence in the performance of duties; provided,</w:t>
            </w:r>
          </w:p>
        </w:tc>
        <w:tc>
          <w:tcPr>
            <w:tcW w:w="1020" w:type="dxa"/>
            <w:vAlign w:val="bottom"/>
          </w:tcPr>
          <w:p>
            <w:pPr>
              <w:spacing w:after="0"/>
              <w:rPr>
                <w:sz w:val="18"/>
                <w:szCs w:val="18"/>
                <w:color w:val="auto"/>
              </w:rPr>
            </w:pPr>
          </w:p>
        </w:tc>
        <w:tc>
          <w:tcPr>
            <w:tcW w:w="458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from negligence in the performance of duties; provided,</w:t>
            </w:r>
          </w:p>
        </w:tc>
      </w:tr>
      <w:tr>
        <w:trPr>
          <w:trHeight w:val="216"/>
        </w:trPr>
        <w:tc>
          <w:tcPr>
            <w:tcW w:w="1000" w:type="dxa"/>
            <w:vAlign w:val="bottom"/>
            <w:tcBorders>
              <w:left w:val="single" w:sz="8" w:color="auto"/>
            </w:tcBorders>
          </w:tcPr>
          <w:p>
            <w:pPr>
              <w:spacing w:after="0"/>
              <w:rPr>
                <w:sz w:val="18"/>
                <w:szCs w:val="18"/>
                <w:color w:val="auto"/>
              </w:rPr>
            </w:pPr>
          </w:p>
        </w:tc>
        <w:tc>
          <w:tcPr>
            <w:tcW w:w="464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however, that the limit of liability under such agreement</w:t>
            </w:r>
          </w:p>
        </w:tc>
        <w:tc>
          <w:tcPr>
            <w:tcW w:w="1020" w:type="dxa"/>
            <w:vAlign w:val="bottom"/>
          </w:tcPr>
          <w:p>
            <w:pPr>
              <w:spacing w:after="0"/>
              <w:rPr>
                <w:sz w:val="18"/>
                <w:szCs w:val="18"/>
                <w:color w:val="auto"/>
              </w:rPr>
            </w:pPr>
          </w:p>
        </w:tc>
        <w:tc>
          <w:tcPr>
            <w:tcW w:w="458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however, that the limit of liability under such agreement</w:t>
            </w:r>
          </w:p>
        </w:tc>
      </w:tr>
      <w:tr>
        <w:trPr>
          <w:trHeight w:val="216"/>
        </w:trPr>
        <w:tc>
          <w:tcPr>
            <w:tcW w:w="1000" w:type="dxa"/>
            <w:vAlign w:val="bottom"/>
            <w:tcBorders>
              <w:left w:val="single" w:sz="8" w:color="auto"/>
            </w:tcBorders>
          </w:tcPr>
          <w:p>
            <w:pPr>
              <w:spacing w:after="0"/>
              <w:rPr>
                <w:sz w:val="18"/>
                <w:szCs w:val="18"/>
                <w:color w:val="auto"/>
              </w:rPr>
            </w:pPr>
          </w:p>
        </w:tc>
        <w:tc>
          <w:tcPr>
            <w:tcW w:w="464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shall be the higher of either an amount predetermined to be</w:t>
            </w:r>
          </w:p>
        </w:tc>
        <w:tc>
          <w:tcPr>
            <w:tcW w:w="1020" w:type="dxa"/>
            <w:vAlign w:val="bottom"/>
          </w:tcPr>
          <w:p>
            <w:pPr>
              <w:spacing w:after="0"/>
              <w:rPr>
                <w:sz w:val="18"/>
                <w:szCs w:val="18"/>
                <w:color w:val="auto"/>
              </w:rPr>
            </w:pPr>
          </w:p>
        </w:tc>
        <w:tc>
          <w:tcPr>
            <w:tcW w:w="458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shall be the higher of either an amount predetermined to be</w:t>
            </w:r>
          </w:p>
        </w:tc>
      </w:tr>
      <w:tr>
        <w:trPr>
          <w:trHeight w:val="216"/>
        </w:trPr>
        <w:tc>
          <w:tcPr>
            <w:tcW w:w="1000" w:type="dxa"/>
            <w:vAlign w:val="bottom"/>
            <w:tcBorders>
              <w:left w:val="single" w:sz="8" w:color="auto"/>
            </w:tcBorders>
          </w:tcPr>
          <w:p>
            <w:pPr>
              <w:spacing w:after="0"/>
              <w:rPr>
                <w:sz w:val="18"/>
                <w:szCs w:val="18"/>
                <w:color w:val="auto"/>
              </w:rPr>
            </w:pPr>
          </w:p>
        </w:tc>
        <w:tc>
          <w:tcPr>
            <w:tcW w:w="464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no less than JPY 1,000,000 or the minimum liability</w:t>
            </w:r>
          </w:p>
        </w:tc>
        <w:tc>
          <w:tcPr>
            <w:tcW w:w="1020" w:type="dxa"/>
            <w:vAlign w:val="bottom"/>
          </w:tcPr>
          <w:p>
            <w:pPr>
              <w:spacing w:after="0"/>
              <w:rPr>
                <w:sz w:val="18"/>
                <w:szCs w:val="18"/>
                <w:color w:val="auto"/>
              </w:rPr>
            </w:pPr>
          </w:p>
        </w:tc>
        <w:tc>
          <w:tcPr>
            <w:tcW w:w="458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no less than JPY 1,000,000 or the minimum liability</w:t>
            </w:r>
          </w:p>
        </w:tc>
      </w:tr>
      <w:tr>
        <w:trPr>
          <w:trHeight w:val="234"/>
        </w:trPr>
        <w:tc>
          <w:tcPr>
            <w:tcW w:w="1000" w:type="dxa"/>
            <w:vAlign w:val="bottom"/>
            <w:tcBorders>
              <w:left w:val="single" w:sz="8" w:color="auto"/>
            </w:tcBorders>
          </w:tcPr>
          <w:p>
            <w:pPr>
              <w:spacing w:after="0"/>
              <w:rPr>
                <w:sz w:val="20"/>
                <w:szCs w:val="20"/>
                <w:color w:val="auto"/>
              </w:rPr>
            </w:pPr>
          </w:p>
        </w:tc>
        <w:tc>
          <w:tcPr>
            <w:tcW w:w="464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amount prescribed by laws and regulations.</w:t>
            </w:r>
          </w:p>
        </w:tc>
        <w:tc>
          <w:tcPr>
            <w:tcW w:w="1020" w:type="dxa"/>
            <w:vAlign w:val="bottom"/>
          </w:tcPr>
          <w:p>
            <w:pPr>
              <w:spacing w:after="0"/>
              <w:rPr>
                <w:sz w:val="20"/>
                <w:szCs w:val="20"/>
                <w:color w:val="auto"/>
              </w:rPr>
            </w:pPr>
          </w:p>
        </w:tc>
        <w:tc>
          <w:tcPr>
            <w:tcW w:w="458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amount prescribed by laws and regulations.</w:t>
            </w:r>
          </w:p>
        </w:tc>
      </w:tr>
      <w:tr>
        <w:trPr>
          <w:trHeight w:val="432"/>
        </w:trPr>
        <w:tc>
          <w:tcPr>
            <w:tcW w:w="1000" w:type="dxa"/>
            <w:vAlign w:val="bottom"/>
            <w:tcBorders>
              <w:left w:val="single" w:sz="8" w:color="auto"/>
            </w:tcBorders>
          </w:tcPr>
          <w:p>
            <w:pPr>
              <w:spacing w:after="0"/>
              <w:rPr>
                <w:sz w:val="24"/>
                <w:szCs w:val="24"/>
                <w:color w:val="auto"/>
              </w:rPr>
            </w:pPr>
          </w:p>
        </w:tc>
        <w:tc>
          <w:tcPr>
            <w:tcW w:w="4640" w:type="dxa"/>
            <w:vAlign w:val="bottom"/>
            <w:tcBorders>
              <w:right w:val="single" w:sz="8" w:color="auto"/>
            </w:tcBorders>
          </w:tcPr>
          <w:p>
            <w:pPr>
              <w:spacing w:after="0"/>
              <w:rPr>
                <w:sz w:val="24"/>
                <w:szCs w:val="24"/>
                <w:color w:val="auto"/>
              </w:rPr>
            </w:pPr>
          </w:p>
        </w:tc>
        <w:tc>
          <w:tcPr>
            <w:tcW w:w="560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(Convocation of the Board of Corporate Auditors)</w:t>
            </w:r>
          </w:p>
        </w:tc>
      </w:tr>
      <w:tr>
        <w:trPr>
          <w:trHeight w:val="414"/>
        </w:trPr>
        <w:tc>
          <w:tcPr>
            <w:tcW w:w="1000" w:type="dxa"/>
            <w:vAlign w:val="bottom"/>
            <w:tcBorders>
              <w:left w:val="single" w:sz="8" w:color="auto"/>
            </w:tcBorders>
          </w:tcPr>
          <w:p>
            <w:pPr>
              <w:spacing w:after="0"/>
              <w:rPr>
                <w:sz w:val="24"/>
                <w:szCs w:val="24"/>
                <w:color w:val="auto"/>
              </w:rPr>
            </w:pPr>
          </w:p>
        </w:tc>
        <w:tc>
          <w:tcPr>
            <w:tcW w:w="4640" w:type="dxa"/>
            <w:vAlign w:val="bottom"/>
            <w:tcBorders>
              <w:right w:val="single" w:sz="8" w:color="auto"/>
            </w:tcBorders>
          </w:tcPr>
          <w:p>
            <w:pPr>
              <w:spacing w:after="0"/>
              <w:rPr>
                <w:sz w:val="24"/>
                <w:szCs w:val="24"/>
                <w:color w:val="auto"/>
              </w:rPr>
            </w:pPr>
          </w:p>
        </w:tc>
        <w:tc>
          <w:tcPr>
            <w:tcW w:w="1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Article 31</w:t>
            </w:r>
          </w:p>
        </w:tc>
        <w:tc>
          <w:tcPr>
            <w:tcW w:w="458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Notice of a meeting of the Board of Corporate Auditors</w:t>
            </w:r>
          </w:p>
        </w:tc>
      </w:tr>
      <w:tr>
        <w:trPr>
          <w:trHeight w:val="216"/>
        </w:trPr>
        <w:tc>
          <w:tcPr>
            <w:tcW w:w="1000" w:type="dxa"/>
            <w:vAlign w:val="bottom"/>
            <w:tcBorders>
              <w:left w:val="single" w:sz="8" w:color="auto"/>
            </w:tcBorders>
          </w:tcPr>
          <w:p>
            <w:pPr>
              <w:spacing w:after="0"/>
              <w:rPr>
                <w:sz w:val="18"/>
                <w:szCs w:val="18"/>
                <w:color w:val="auto"/>
              </w:rPr>
            </w:pPr>
          </w:p>
        </w:tc>
        <w:tc>
          <w:tcPr>
            <w:tcW w:w="4640" w:type="dxa"/>
            <w:vAlign w:val="bottom"/>
            <w:tcBorders>
              <w:right w:val="single" w:sz="8" w:color="auto"/>
            </w:tcBorders>
          </w:tcPr>
          <w:p>
            <w:pPr>
              <w:spacing w:after="0"/>
              <w:rPr>
                <w:sz w:val="18"/>
                <w:szCs w:val="18"/>
                <w:color w:val="auto"/>
              </w:rPr>
            </w:pPr>
          </w:p>
        </w:tc>
        <w:tc>
          <w:tcPr>
            <w:tcW w:w="1020" w:type="dxa"/>
            <w:vAlign w:val="bottom"/>
          </w:tcPr>
          <w:p>
            <w:pPr>
              <w:spacing w:after="0"/>
              <w:rPr>
                <w:sz w:val="18"/>
                <w:szCs w:val="18"/>
                <w:color w:val="auto"/>
              </w:rPr>
            </w:pPr>
          </w:p>
        </w:tc>
        <w:tc>
          <w:tcPr>
            <w:tcW w:w="458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shall be given to each Corporate Auditor at least three (3)</w:t>
            </w:r>
          </w:p>
        </w:tc>
      </w:tr>
      <w:tr>
        <w:trPr>
          <w:trHeight w:val="216"/>
        </w:trPr>
        <w:tc>
          <w:tcPr>
            <w:tcW w:w="1000" w:type="dxa"/>
            <w:vAlign w:val="bottom"/>
            <w:tcBorders>
              <w:left w:val="single" w:sz="8" w:color="auto"/>
            </w:tcBorders>
          </w:tcPr>
          <w:p>
            <w:pPr>
              <w:spacing w:after="0"/>
              <w:rPr>
                <w:sz w:val="18"/>
                <w:szCs w:val="18"/>
                <w:color w:val="auto"/>
              </w:rPr>
            </w:pPr>
          </w:p>
        </w:tc>
        <w:tc>
          <w:tcPr>
            <w:tcW w:w="4640" w:type="dxa"/>
            <w:vAlign w:val="bottom"/>
            <w:tcBorders>
              <w:right w:val="single" w:sz="8" w:color="auto"/>
            </w:tcBorders>
          </w:tcPr>
          <w:p>
            <w:pPr>
              <w:spacing w:after="0"/>
              <w:rPr>
                <w:sz w:val="18"/>
                <w:szCs w:val="18"/>
                <w:color w:val="auto"/>
              </w:rPr>
            </w:pPr>
          </w:p>
        </w:tc>
        <w:tc>
          <w:tcPr>
            <w:tcW w:w="1020" w:type="dxa"/>
            <w:vAlign w:val="bottom"/>
          </w:tcPr>
          <w:p>
            <w:pPr>
              <w:spacing w:after="0"/>
              <w:rPr>
                <w:sz w:val="18"/>
                <w:szCs w:val="18"/>
                <w:color w:val="auto"/>
              </w:rPr>
            </w:pPr>
          </w:p>
        </w:tc>
        <w:tc>
          <w:tcPr>
            <w:tcW w:w="458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days prior to the date of the meeting; provided, however,</w:t>
            </w:r>
          </w:p>
        </w:tc>
      </w:tr>
      <w:tr>
        <w:trPr>
          <w:trHeight w:val="216"/>
        </w:trPr>
        <w:tc>
          <w:tcPr>
            <w:tcW w:w="1000" w:type="dxa"/>
            <w:vAlign w:val="bottom"/>
            <w:tcBorders>
              <w:left w:val="single" w:sz="8" w:color="auto"/>
            </w:tcBorders>
          </w:tcPr>
          <w:p>
            <w:pPr>
              <w:spacing w:after="0"/>
              <w:rPr>
                <w:sz w:val="18"/>
                <w:szCs w:val="18"/>
                <w:color w:val="auto"/>
              </w:rPr>
            </w:pPr>
          </w:p>
        </w:tc>
        <w:tc>
          <w:tcPr>
            <w:tcW w:w="4640" w:type="dxa"/>
            <w:vAlign w:val="bottom"/>
            <w:tcBorders>
              <w:right w:val="single" w:sz="8" w:color="auto"/>
            </w:tcBorders>
          </w:tcPr>
          <w:p>
            <w:pPr>
              <w:spacing w:after="0"/>
              <w:rPr>
                <w:sz w:val="18"/>
                <w:szCs w:val="18"/>
                <w:color w:val="auto"/>
              </w:rPr>
            </w:pPr>
          </w:p>
        </w:tc>
        <w:tc>
          <w:tcPr>
            <w:tcW w:w="1020" w:type="dxa"/>
            <w:vAlign w:val="bottom"/>
          </w:tcPr>
          <w:p>
            <w:pPr>
              <w:spacing w:after="0"/>
              <w:rPr>
                <w:sz w:val="18"/>
                <w:szCs w:val="18"/>
                <w:color w:val="auto"/>
              </w:rPr>
            </w:pPr>
          </w:p>
        </w:tc>
        <w:tc>
          <w:tcPr>
            <w:tcW w:w="458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that this period may be shortened in cases of urgent</w:t>
            </w:r>
          </w:p>
        </w:tc>
      </w:tr>
      <w:tr>
        <w:trPr>
          <w:trHeight w:val="234"/>
        </w:trPr>
        <w:tc>
          <w:tcPr>
            <w:tcW w:w="1000" w:type="dxa"/>
            <w:vAlign w:val="bottom"/>
            <w:tcBorders>
              <w:left w:val="single" w:sz="8" w:color="auto"/>
            </w:tcBorders>
          </w:tcPr>
          <w:p>
            <w:pPr>
              <w:spacing w:after="0"/>
              <w:rPr>
                <w:sz w:val="20"/>
                <w:szCs w:val="20"/>
                <w:color w:val="auto"/>
              </w:rPr>
            </w:pPr>
          </w:p>
        </w:tc>
        <w:tc>
          <w:tcPr>
            <w:tcW w:w="4640" w:type="dxa"/>
            <w:vAlign w:val="bottom"/>
            <w:tcBorders>
              <w:right w:val="single" w:sz="8" w:color="auto"/>
            </w:tcBorders>
          </w:tcPr>
          <w:p>
            <w:pPr>
              <w:spacing w:after="0"/>
              <w:rPr>
                <w:sz w:val="20"/>
                <w:szCs w:val="20"/>
                <w:color w:val="auto"/>
              </w:rPr>
            </w:pPr>
          </w:p>
        </w:tc>
        <w:tc>
          <w:tcPr>
            <w:tcW w:w="1020" w:type="dxa"/>
            <w:vAlign w:val="bottom"/>
          </w:tcPr>
          <w:p>
            <w:pPr>
              <w:spacing w:after="0"/>
              <w:rPr>
                <w:sz w:val="20"/>
                <w:szCs w:val="20"/>
                <w:color w:val="auto"/>
              </w:rPr>
            </w:pPr>
          </w:p>
        </w:tc>
        <w:tc>
          <w:tcPr>
            <w:tcW w:w="458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necessity.</w:t>
            </w:r>
          </w:p>
        </w:tc>
      </w:tr>
      <w:tr>
        <w:trPr>
          <w:trHeight w:val="414"/>
        </w:trPr>
        <w:tc>
          <w:tcPr>
            <w:tcW w:w="1000" w:type="dxa"/>
            <w:vAlign w:val="bottom"/>
            <w:tcBorders>
              <w:left w:val="single" w:sz="8" w:color="auto"/>
            </w:tcBorders>
          </w:tcPr>
          <w:p>
            <w:pPr>
              <w:spacing w:after="0"/>
              <w:rPr>
                <w:sz w:val="24"/>
                <w:szCs w:val="24"/>
                <w:color w:val="auto"/>
              </w:rPr>
            </w:pPr>
          </w:p>
        </w:tc>
        <w:tc>
          <w:tcPr>
            <w:tcW w:w="4640" w:type="dxa"/>
            <w:vAlign w:val="bottom"/>
            <w:tcBorders>
              <w:right w:val="single" w:sz="8" w:color="auto"/>
            </w:tcBorders>
          </w:tcPr>
          <w:p>
            <w:pPr>
              <w:spacing w:after="0"/>
              <w:rPr>
                <w:sz w:val="24"/>
                <w:szCs w:val="24"/>
                <w:color w:val="auto"/>
              </w:rPr>
            </w:pPr>
          </w:p>
        </w:tc>
        <w:tc>
          <w:tcPr>
            <w:tcW w:w="1020" w:type="dxa"/>
            <w:vAlign w:val="bottom"/>
          </w:tcPr>
          <w:p>
            <w:pPr>
              <w:spacing w:after="0"/>
              <w:rPr>
                <w:sz w:val="24"/>
                <w:szCs w:val="24"/>
                <w:color w:val="auto"/>
              </w:rPr>
            </w:pPr>
          </w:p>
        </w:tc>
        <w:tc>
          <w:tcPr>
            <w:tcW w:w="458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2. A meeting of the Board of Corporate Auditors may be</w:t>
            </w:r>
          </w:p>
        </w:tc>
      </w:tr>
      <w:tr>
        <w:trPr>
          <w:trHeight w:val="216"/>
        </w:trPr>
        <w:tc>
          <w:tcPr>
            <w:tcW w:w="1000" w:type="dxa"/>
            <w:vAlign w:val="bottom"/>
            <w:tcBorders>
              <w:left w:val="single" w:sz="8" w:color="auto"/>
            </w:tcBorders>
          </w:tcPr>
          <w:p>
            <w:pPr>
              <w:spacing w:after="0"/>
              <w:rPr>
                <w:sz w:val="18"/>
                <w:szCs w:val="18"/>
                <w:color w:val="auto"/>
              </w:rPr>
            </w:pPr>
          </w:p>
        </w:tc>
        <w:tc>
          <w:tcPr>
            <w:tcW w:w="4640" w:type="dxa"/>
            <w:vAlign w:val="bottom"/>
            <w:tcBorders>
              <w:right w:val="single" w:sz="8" w:color="auto"/>
            </w:tcBorders>
          </w:tcPr>
          <w:p>
            <w:pPr>
              <w:spacing w:after="0"/>
              <w:rPr>
                <w:sz w:val="18"/>
                <w:szCs w:val="18"/>
                <w:color w:val="auto"/>
              </w:rPr>
            </w:pPr>
          </w:p>
        </w:tc>
        <w:tc>
          <w:tcPr>
            <w:tcW w:w="1020" w:type="dxa"/>
            <w:vAlign w:val="bottom"/>
          </w:tcPr>
          <w:p>
            <w:pPr>
              <w:spacing w:after="0"/>
              <w:rPr>
                <w:sz w:val="18"/>
                <w:szCs w:val="18"/>
                <w:color w:val="auto"/>
              </w:rPr>
            </w:pPr>
          </w:p>
        </w:tc>
        <w:tc>
          <w:tcPr>
            <w:tcW w:w="458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held without following the convocation procedures if all</w:t>
            </w:r>
          </w:p>
        </w:tc>
      </w:tr>
      <w:tr>
        <w:trPr>
          <w:trHeight w:val="234"/>
        </w:trPr>
        <w:tc>
          <w:tcPr>
            <w:tcW w:w="1000" w:type="dxa"/>
            <w:vAlign w:val="bottom"/>
            <w:tcBorders>
              <w:left w:val="single" w:sz="8" w:color="auto"/>
            </w:tcBorders>
          </w:tcPr>
          <w:p>
            <w:pPr>
              <w:spacing w:after="0"/>
              <w:rPr>
                <w:sz w:val="20"/>
                <w:szCs w:val="20"/>
                <w:color w:val="auto"/>
              </w:rPr>
            </w:pPr>
          </w:p>
        </w:tc>
        <w:tc>
          <w:tcPr>
            <w:tcW w:w="4640" w:type="dxa"/>
            <w:vAlign w:val="bottom"/>
            <w:tcBorders>
              <w:right w:val="single" w:sz="8" w:color="auto"/>
            </w:tcBorders>
          </w:tcPr>
          <w:p>
            <w:pPr>
              <w:spacing w:after="0"/>
              <w:rPr>
                <w:sz w:val="20"/>
                <w:szCs w:val="20"/>
                <w:color w:val="auto"/>
              </w:rPr>
            </w:pPr>
          </w:p>
        </w:tc>
        <w:tc>
          <w:tcPr>
            <w:tcW w:w="1020" w:type="dxa"/>
            <w:vAlign w:val="bottom"/>
          </w:tcPr>
          <w:p>
            <w:pPr>
              <w:spacing w:after="0"/>
              <w:rPr>
                <w:sz w:val="20"/>
                <w:szCs w:val="20"/>
                <w:color w:val="auto"/>
              </w:rPr>
            </w:pPr>
          </w:p>
        </w:tc>
        <w:tc>
          <w:tcPr>
            <w:tcW w:w="458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Corporate Auditors consent thereto.</w:t>
            </w:r>
          </w:p>
        </w:tc>
      </w:tr>
      <w:tr>
        <w:trPr>
          <w:trHeight w:val="432"/>
        </w:trPr>
        <w:tc>
          <w:tcPr>
            <w:tcW w:w="1000" w:type="dxa"/>
            <w:vAlign w:val="bottom"/>
            <w:tcBorders>
              <w:left w:val="single" w:sz="8" w:color="auto"/>
            </w:tcBorders>
          </w:tcPr>
          <w:p>
            <w:pPr>
              <w:spacing w:after="0"/>
              <w:rPr>
                <w:sz w:val="24"/>
                <w:szCs w:val="24"/>
                <w:color w:val="auto"/>
              </w:rPr>
            </w:pPr>
          </w:p>
        </w:tc>
        <w:tc>
          <w:tcPr>
            <w:tcW w:w="4640" w:type="dxa"/>
            <w:vAlign w:val="bottom"/>
            <w:tcBorders>
              <w:right w:val="single" w:sz="8" w:color="auto"/>
            </w:tcBorders>
          </w:tcPr>
          <w:p>
            <w:pPr>
              <w:spacing w:after="0"/>
              <w:rPr>
                <w:sz w:val="24"/>
                <w:szCs w:val="24"/>
                <w:color w:val="auto"/>
              </w:rPr>
            </w:pPr>
          </w:p>
        </w:tc>
        <w:tc>
          <w:tcPr>
            <w:tcW w:w="560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(Rules of the Board of Corporate Auditors)</w:t>
            </w:r>
          </w:p>
        </w:tc>
      </w:tr>
      <w:tr>
        <w:trPr>
          <w:trHeight w:val="414"/>
        </w:trPr>
        <w:tc>
          <w:tcPr>
            <w:tcW w:w="1000" w:type="dxa"/>
            <w:vAlign w:val="bottom"/>
            <w:tcBorders>
              <w:left w:val="single" w:sz="8" w:color="auto"/>
            </w:tcBorders>
          </w:tcPr>
          <w:p>
            <w:pPr>
              <w:spacing w:after="0"/>
              <w:rPr>
                <w:sz w:val="24"/>
                <w:szCs w:val="24"/>
                <w:color w:val="auto"/>
              </w:rPr>
            </w:pPr>
          </w:p>
        </w:tc>
        <w:tc>
          <w:tcPr>
            <w:tcW w:w="4640" w:type="dxa"/>
            <w:vAlign w:val="bottom"/>
            <w:tcBorders>
              <w:right w:val="single" w:sz="8" w:color="auto"/>
            </w:tcBorders>
          </w:tcPr>
          <w:p>
            <w:pPr>
              <w:spacing w:after="0"/>
              <w:rPr>
                <w:sz w:val="24"/>
                <w:szCs w:val="24"/>
                <w:color w:val="auto"/>
              </w:rPr>
            </w:pPr>
          </w:p>
        </w:tc>
        <w:tc>
          <w:tcPr>
            <w:tcW w:w="1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Article 32</w:t>
            </w:r>
          </w:p>
        </w:tc>
        <w:tc>
          <w:tcPr>
            <w:tcW w:w="458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Matters concerning the Board of Corporate Auditors shall</w:t>
            </w:r>
          </w:p>
        </w:tc>
      </w:tr>
      <w:tr>
        <w:trPr>
          <w:trHeight w:val="216"/>
        </w:trPr>
        <w:tc>
          <w:tcPr>
            <w:tcW w:w="1000" w:type="dxa"/>
            <w:vAlign w:val="bottom"/>
            <w:tcBorders>
              <w:left w:val="single" w:sz="8" w:color="auto"/>
            </w:tcBorders>
          </w:tcPr>
          <w:p>
            <w:pPr>
              <w:spacing w:after="0"/>
              <w:rPr>
                <w:sz w:val="18"/>
                <w:szCs w:val="18"/>
                <w:color w:val="auto"/>
              </w:rPr>
            </w:pPr>
          </w:p>
        </w:tc>
        <w:tc>
          <w:tcPr>
            <w:tcW w:w="4640" w:type="dxa"/>
            <w:vAlign w:val="bottom"/>
            <w:tcBorders>
              <w:right w:val="single" w:sz="8" w:color="auto"/>
            </w:tcBorders>
          </w:tcPr>
          <w:p>
            <w:pPr>
              <w:spacing w:after="0"/>
              <w:rPr>
                <w:sz w:val="18"/>
                <w:szCs w:val="18"/>
                <w:color w:val="auto"/>
              </w:rPr>
            </w:pPr>
          </w:p>
        </w:tc>
        <w:tc>
          <w:tcPr>
            <w:tcW w:w="1020" w:type="dxa"/>
            <w:vAlign w:val="bottom"/>
          </w:tcPr>
          <w:p>
            <w:pPr>
              <w:spacing w:after="0"/>
              <w:rPr>
                <w:sz w:val="18"/>
                <w:szCs w:val="18"/>
                <w:color w:val="auto"/>
              </w:rPr>
            </w:pPr>
          </w:p>
        </w:tc>
        <w:tc>
          <w:tcPr>
            <w:tcW w:w="458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be governed not only by laws and regulations and these</w:t>
            </w:r>
          </w:p>
        </w:tc>
      </w:tr>
      <w:tr>
        <w:trPr>
          <w:trHeight w:val="216"/>
        </w:trPr>
        <w:tc>
          <w:tcPr>
            <w:tcW w:w="1000" w:type="dxa"/>
            <w:vAlign w:val="bottom"/>
            <w:tcBorders>
              <w:left w:val="single" w:sz="8" w:color="auto"/>
            </w:tcBorders>
          </w:tcPr>
          <w:p>
            <w:pPr>
              <w:spacing w:after="0"/>
              <w:rPr>
                <w:sz w:val="18"/>
                <w:szCs w:val="18"/>
                <w:color w:val="auto"/>
              </w:rPr>
            </w:pPr>
          </w:p>
        </w:tc>
        <w:tc>
          <w:tcPr>
            <w:tcW w:w="4640" w:type="dxa"/>
            <w:vAlign w:val="bottom"/>
            <w:tcBorders>
              <w:right w:val="single" w:sz="8" w:color="auto"/>
            </w:tcBorders>
          </w:tcPr>
          <w:p>
            <w:pPr>
              <w:spacing w:after="0"/>
              <w:rPr>
                <w:sz w:val="18"/>
                <w:szCs w:val="18"/>
                <w:color w:val="auto"/>
              </w:rPr>
            </w:pPr>
          </w:p>
        </w:tc>
        <w:tc>
          <w:tcPr>
            <w:tcW w:w="1020" w:type="dxa"/>
            <w:vAlign w:val="bottom"/>
          </w:tcPr>
          <w:p>
            <w:pPr>
              <w:spacing w:after="0"/>
              <w:rPr>
                <w:sz w:val="18"/>
                <w:szCs w:val="18"/>
                <w:color w:val="auto"/>
              </w:rPr>
            </w:pPr>
          </w:p>
        </w:tc>
        <w:tc>
          <w:tcPr>
            <w:tcW w:w="458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Articles of Incorporation, but also by the Rules of the</w:t>
            </w:r>
          </w:p>
        </w:tc>
      </w:tr>
      <w:tr>
        <w:trPr>
          <w:trHeight w:val="216"/>
        </w:trPr>
        <w:tc>
          <w:tcPr>
            <w:tcW w:w="1000" w:type="dxa"/>
            <w:vAlign w:val="bottom"/>
            <w:tcBorders>
              <w:left w:val="single" w:sz="8" w:color="auto"/>
            </w:tcBorders>
          </w:tcPr>
          <w:p>
            <w:pPr>
              <w:spacing w:after="0"/>
              <w:rPr>
                <w:sz w:val="18"/>
                <w:szCs w:val="18"/>
                <w:color w:val="auto"/>
              </w:rPr>
            </w:pPr>
          </w:p>
        </w:tc>
        <w:tc>
          <w:tcPr>
            <w:tcW w:w="4640" w:type="dxa"/>
            <w:vAlign w:val="bottom"/>
            <w:tcBorders>
              <w:right w:val="single" w:sz="8" w:color="auto"/>
            </w:tcBorders>
          </w:tcPr>
          <w:p>
            <w:pPr>
              <w:spacing w:after="0"/>
              <w:rPr>
                <w:sz w:val="18"/>
                <w:szCs w:val="18"/>
                <w:color w:val="auto"/>
              </w:rPr>
            </w:pPr>
          </w:p>
        </w:tc>
        <w:tc>
          <w:tcPr>
            <w:tcW w:w="1020" w:type="dxa"/>
            <w:vAlign w:val="bottom"/>
          </w:tcPr>
          <w:p>
            <w:pPr>
              <w:spacing w:after="0"/>
              <w:rPr>
                <w:sz w:val="18"/>
                <w:szCs w:val="18"/>
                <w:color w:val="auto"/>
              </w:rPr>
            </w:pPr>
          </w:p>
        </w:tc>
        <w:tc>
          <w:tcPr>
            <w:tcW w:w="458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Board of Corporate Auditors established by the Board of</w:t>
            </w:r>
          </w:p>
        </w:tc>
      </w:tr>
      <w:tr>
        <w:trPr>
          <w:trHeight w:val="234"/>
        </w:trPr>
        <w:tc>
          <w:tcPr>
            <w:tcW w:w="1000" w:type="dxa"/>
            <w:vAlign w:val="bottom"/>
            <w:tcBorders>
              <w:left w:val="single" w:sz="8" w:color="auto"/>
              <w:bottom w:val="single" w:sz="8" w:color="auto"/>
            </w:tcBorders>
          </w:tcPr>
          <w:p>
            <w:pPr>
              <w:spacing w:after="0"/>
              <w:rPr>
                <w:sz w:val="20"/>
                <w:szCs w:val="20"/>
                <w:color w:val="auto"/>
              </w:rPr>
            </w:pPr>
          </w:p>
        </w:tc>
        <w:tc>
          <w:tcPr>
            <w:tcW w:w="464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4580" w:type="dxa"/>
            <w:vAlign w:val="bottom"/>
            <w:tcBorders>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Corporate Auditors.</w:t>
            </w:r>
          </w:p>
        </w:tc>
      </w:tr>
      <w:tr>
        <w:trPr>
          <w:trHeight w:val="648"/>
        </w:trPr>
        <w:tc>
          <w:tcPr>
            <w:tcW w:w="1000" w:type="dxa"/>
            <w:vAlign w:val="bottom"/>
            <w:tcBorders>
              <w:bottom w:val="single" w:sz="8" w:color="auto"/>
            </w:tcBorders>
          </w:tcPr>
          <w:p>
            <w:pPr>
              <w:spacing w:after="0"/>
              <w:rPr>
                <w:sz w:val="24"/>
                <w:szCs w:val="24"/>
                <w:color w:val="auto"/>
              </w:rPr>
            </w:pPr>
          </w:p>
        </w:tc>
        <w:tc>
          <w:tcPr>
            <w:tcW w:w="5660" w:type="dxa"/>
            <w:vAlign w:val="bottom"/>
            <w:tcBorders>
              <w:bottom w:val="single" w:sz="8" w:color="auto"/>
            </w:tcBorders>
            <w:gridSpan w:val="2"/>
          </w:tcPr>
          <w:p>
            <w:pPr>
              <w:ind w:left="4480"/>
              <w:spacing w:after="0"/>
              <w:rPr>
                <w:sz w:val="20"/>
                <w:szCs w:val="20"/>
                <w:color w:val="auto"/>
              </w:rPr>
            </w:pPr>
            <w:r>
              <w:rPr>
                <w:rFonts w:ascii="Times New Roman" w:cs="Times New Roman" w:eastAsia="Times New Roman" w:hAnsi="Times New Roman"/>
                <w:sz w:val="18"/>
                <w:szCs w:val="18"/>
                <w:color w:val="auto"/>
              </w:rPr>
              <w:t>- 5 -</w:t>
            </w:r>
          </w:p>
        </w:tc>
        <w:tc>
          <w:tcPr>
            <w:tcW w:w="45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18" w:right="339" w:bottom="1440" w:gutter="0" w:footer="0" w:header="0"/>
        </w:sectPr>
      </w:pPr>
    </w:p>
    <w:bookmarkStart w:id="9" w:name="page10"/>
    <w:bookmarkEnd w:id="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4720" w:type="dxa"/>
            <w:vAlign w:val="bottom"/>
            <w:tcBorders>
              <w:top w:val="single" w:sz="8" w:color="auto"/>
              <w:left w:val="single" w:sz="8" w:color="auto"/>
              <w:bottom w:val="single" w:sz="8" w:color="auto"/>
            </w:tcBorders>
          </w:tcPr>
          <w:p>
            <w:pPr>
              <w:ind w:left="1580"/>
              <w:spacing w:after="0"/>
              <w:rPr>
                <w:sz w:val="20"/>
                <w:szCs w:val="20"/>
                <w:color w:val="auto"/>
              </w:rPr>
            </w:pPr>
            <w:r>
              <w:rPr>
                <w:rFonts w:ascii="Times New Roman" w:cs="Times New Roman" w:eastAsia="Times New Roman" w:hAnsi="Times New Roman"/>
                <w:sz w:val="18"/>
                <w:szCs w:val="18"/>
                <w:color w:val="auto"/>
              </w:rPr>
              <w:t>Current Articles of Incorporation</w:t>
            </w:r>
          </w:p>
        </w:tc>
        <w:tc>
          <w:tcPr>
            <w:tcW w:w="920" w:type="dxa"/>
            <w:vAlign w:val="bottom"/>
            <w:tcBorders>
              <w:top w:val="single" w:sz="8" w:color="auto"/>
              <w:bottom w:val="single" w:sz="8" w:color="auto"/>
              <w:right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spacing w:after="0"/>
              <w:rPr>
                <w:sz w:val="19"/>
                <w:szCs w:val="19"/>
                <w:color w:val="auto"/>
              </w:rPr>
            </w:pPr>
          </w:p>
        </w:tc>
        <w:tc>
          <w:tcPr>
            <w:tcW w:w="4580" w:type="dxa"/>
            <w:vAlign w:val="bottom"/>
            <w:tcBorders>
              <w:top w:val="single" w:sz="8" w:color="auto"/>
              <w:bottom w:val="single" w:sz="8" w:color="auto"/>
              <w:right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Proposed Amendments</w:t>
            </w:r>
          </w:p>
        </w:tc>
      </w:tr>
      <w:tr>
        <w:trPr>
          <w:trHeight w:val="232"/>
        </w:trPr>
        <w:tc>
          <w:tcPr>
            <w:tcW w:w="4720" w:type="dxa"/>
            <w:vAlign w:val="bottom"/>
            <w:tcBorders>
              <w:lef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No corresponding provision.</w:t>
            </w:r>
          </w:p>
        </w:tc>
        <w:tc>
          <w:tcPr>
            <w:tcW w:w="920" w:type="dxa"/>
            <w:vAlign w:val="bottom"/>
            <w:tcBorders>
              <w:right w:val="single" w:sz="8" w:color="auto"/>
            </w:tcBorders>
          </w:tcPr>
          <w:p>
            <w:pPr>
              <w:spacing w:after="0"/>
              <w:rPr>
                <w:sz w:val="20"/>
                <w:szCs w:val="20"/>
                <w:color w:val="auto"/>
              </w:rPr>
            </w:pPr>
          </w:p>
        </w:tc>
        <w:tc>
          <w:tcPr>
            <w:tcW w:w="560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Chapter 6 Accounting Auditor</w:t>
            </w:r>
          </w:p>
        </w:tc>
      </w:tr>
      <w:tr>
        <w:trPr>
          <w:trHeight w:val="410"/>
        </w:trPr>
        <w:tc>
          <w:tcPr>
            <w:tcW w:w="4720" w:type="dxa"/>
            <w:vAlign w:val="bottom"/>
            <w:tcBorders>
              <w:left w:val="single" w:sz="8" w:color="auto"/>
            </w:tcBorders>
          </w:tcPr>
          <w:p>
            <w:pPr>
              <w:spacing w:after="0"/>
              <w:rPr>
                <w:sz w:val="24"/>
                <w:szCs w:val="24"/>
                <w:color w:val="auto"/>
              </w:rPr>
            </w:pPr>
          </w:p>
        </w:tc>
        <w:tc>
          <w:tcPr>
            <w:tcW w:w="920" w:type="dxa"/>
            <w:vAlign w:val="bottom"/>
            <w:tcBorders>
              <w:right w:val="single" w:sz="8" w:color="auto"/>
            </w:tcBorders>
          </w:tcPr>
          <w:p>
            <w:pPr>
              <w:spacing w:after="0"/>
              <w:rPr>
                <w:sz w:val="24"/>
                <w:szCs w:val="24"/>
                <w:color w:val="auto"/>
              </w:rPr>
            </w:pPr>
          </w:p>
        </w:tc>
        <w:tc>
          <w:tcPr>
            <w:tcW w:w="560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(Election of Accounting Auditor)</w:t>
            </w:r>
          </w:p>
        </w:tc>
      </w:tr>
      <w:tr>
        <w:trPr>
          <w:trHeight w:val="414"/>
        </w:trPr>
        <w:tc>
          <w:tcPr>
            <w:tcW w:w="4720" w:type="dxa"/>
            <w:vAlign w:val="bottom"/>
            <w:tcBorders>
              <w:left w:val="single" w:sz="8" w:color="auto"/>
            </w:tcBorders>
          </w:tcPr>
          <w:p>
            <w:pPr>
              <w:spacing w:after="0"/>
              <w:rPr>
                <w:sz w:val="24"/>
                <w:szCs w:val="24"/>
                <w:color w:val="auto"/>
              </w:rPr>
            </w:pPr>
          </w:p>
        </w:tc>
        <w:tc>
          <w:tcPr>
            <w:tcW w:w="920" w:type="dxa"/>
            <w:vAlign w:val="bottom"/>
            <w:tcBorders>
              <w:right w:val="single" w:sz="8" w:color="auto"/>
            </w:tcBorders>
          </w:tcPr>
          <w:p>
            <w:pPr>
              <w:spacing w:after="0"/>
              <w:rPr>
                <w:sz w:val="24"/>
                <w:szCs w:val="24"/>
                <w:color w:val="auto"/>
              </w:rPr>
            </w:pPr>
          </w:p>
        </w:tc>
        <w:tc>
          <w:tcPr>
            <w:tcW w:w="1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Article 33</w:t>
            </w:r>
          </w:p>
        </w:tc>
        <w:tc>
          <w:tcPr>
            <w:tcW w:w="458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The Accounting Auditor shall be elected by resolution of</w:t>
            </w:r>
          </w:p>
        </w:tc>
      </w:tr>
      <w:tr>
        <w:trPr>
          <w:trHeight w:val="234"/>
        </w:trPr>
        <w:tc>
          <w:tcPr>
            <w:tcW w:w="4720" w:type="dxa"/>
            <w:vAlign w:val="bottom"/>
            <w:tcBorders>
              <w:lef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1020" w:type="dxa"/>
            <w:vAlign w:val="bottom"/>
          </w:tcPr>
          <w:p>
            <w:pPr>
              <w:spacing w:after="0"/>
              <w:rPr>
                <w:sz w:val="20"/>
                <w:szCs w:val="20"/>
                <w:color w:val="auto"/>
              </w:rPr>
            </w:pPr>
          </w:p>
        </w:tc>
        <w:tc>
          <w:tcPr>
            <w:tcW w:w="458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the General Meeting of Shareholders.</w:t>
            </w:r>
          </w:p>
        </w:tc>
      </w:tr>
      <w:tr>
        <w:trPr>
          <w:trHeight w:val="432"/>
        </w:trPr>
        <w:tc>
          <w:tcPr>
            <w:tcW w:w="4720" w:type="dxa"/>
            <w:vAlign w:val="bottom"/>
            <w:tcBorders>
              <w:left w:val="single" w:sz="8" w:color="auto"/>
            </w:tcBorders>
          </w:tcPr>
          <w:p>
            <w:pPr>
              <w:spacing w:after="0"/>
              <w:rPr>
                <w:sz w:val="24"/>
                <w:szCs w:val="24"/>
                <w:color w:val="auto"/>
              </w:rPr>
            </w:pPr>
          </w:p>
        </w:tc>
        <w:tc>
          <w:tcPr>
            <w:tcW w:w="920" w:type="dxa"/>
            <w:vAlign w:val="bottom"/>
            <w:tcBorders>
              <w:right w:val="single" w:sz="8" w:color="auto"/>
            </w:tcBorders>
          </w:tcPr>
          <w:p>
            <w:pPr>
              <w:spacing w:after="0"/>
              <w:rPr>
                <w:sz w:val="24"/>
                <w:szCs w:val="24"/>
                <w:color w:val="auto"/>
              </w:rPr>
            </w:pPr>
          </w:p>
        </w:tc>
        <w:tc>
          <w:tcPr>
            <w:tcW w:w="560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(Term of Office of Accounting Auditor)</w:t>
            </w:r>
          </w:p>
        </w:tc>
      </w:tr>
      <w:tr>
        <w:trPr>
          <w:trHeight w:val="414"/>
        </w:trPr>
        <w:tc>
          <w:tcPr>
            <w:tcW w:w="4720" w:type="dxa"/>
            <w:vAlign w:val="bottom"/>
            <w:tcBorders>
              <w:left w:val="single" w:sz="8" w:color="auto"/>
            </w:tcBorders>
          </w:tcPr>
          <w:p>
            <w:pPr>
              <w:spacing w:after="0"/>
              <w:rPr>
                <w:sz w:val="24"/>
                <w:szCs w:val="24"/>
                <w:color w:val="auto"/>
              </w:rPr>
            </w:pPr>
          </w:p>
        </w:tc>
        <w:tc>
          <w:tcPr>
            <w:tcW w:w="920" w:type="dxa"/>
            <w:vAlign w:val="bottom"/>
            <w:tcBorders>
              <w:right w:val="single" w:sz="8" w:color="auto"/>
            </w:tcBorders>
          </w:tcPr>
          <w:p>
            <w:pPr>
              <w:spacing w:after="0"/>
              <w:rPr>
                <w:sz w:val="24"/>
                <w:szCs w:val="24"/>
                <w:color w:val="auto"/>
              </w:rPr>
            </w:pPr>
          </w:p>
        </w:tc>
        <w:tc>
          <w:tcPr>
            <w:tcW w:w="1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Article 34</w:t>
            </w:r>
          </w:p>
        </w:tc>
        <w:tc>
          <w:tcPr>
            <w:tcW w:w="458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The term of office of the Accounting Auditor shall expire at</w:t>
            </w:r>
          </w:p>
        </w:tc>
      </w:tr>
      <w:tr>
        <w:trPr>
          <w:trHeight w:val="216"/>
        </w:trPr>
        <w:tc>
          <w:tcPr>
            <w:tcW w:w="4720" w:type="dxa"/>
            <w:vAlign w:val="bottom"/>
            <w:tcBorders>
              <w:lef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1020" w:type="dxa"/>
            <w:vAlign w:val="bottom"/>
          </w:tcPr>
          <w:p>
            <w:pPr>
              <w:spacing w:after="0"/>
              <w:rPr>
                <w:sz w:val="18"/>
                <w:szCs w:val="18"/>
                <w:color w:val="auto"/>
              </w:rPr>
            </w:pPr>
          </w:p>
        </w:tc>
        <w:tc>
          <w:tcPr>
            <w:tcW w:w="458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the  conclusion  of  the  Ordinary  General  Meeting  of</w:t>
            </w:r>
          </w:p>
        </w:tc>
      </w:tr>
      <w:tr>
        <w:trPr>
          <w:trHeight w:val="216"/>
        </w:trPr>
        <w:tc>
          <w:tcPr>
            <w:tcW w:w="4720" w:type="dxa"/>
            <w:vAlign w:val="bottom"/>
            <w:tcBorders>
              <w:lef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1020" w:type="dxa"/>
            <w:vAlign w:val="bottom"/>
          </w:tcPr>
          <w:p>
            <w:pPr>
              <w:spacing w:after="0"/>
              <w:rPr>
                <w:sz w:val="18"/>
                <w:szCs w:val="18"/>
                <w:color w:val="auto"/>
              </w:rPr>
            </w:pPr>
          </w:p>
        </w:tc>
        <w:tc>
          <w:tcPr>
            <w:tcW w:w="458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Shareholders relating to the final fiscal year ending within</w:t>
            </w:r>
          </w:p>
        </w:tc>
      </w:tr>
      <w:tr>
        <w:trPr>
          <w:trHeight w:val="234"/>
        </w:trPr>
        <w:tc>
          <w:tcPr>
            <w:tcW w:w="4720" w:type="dxa"/>
            <w:vAlign w:val="bottom"/>
            <w:tcBorders>
              <w:lef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1020" w:type="dxa"/>
            <w:vAlign w:val="bottom"/>
          </w:tcPr>
          <w:p>
            <w:pPr>
              <w:spacing w:after="0"/>
              <w:rPr>
                <w:sz w:val="20"/>
                <w:szCs w:val="20"/>
                <w:color w:val="auto"/>
              </w:rPr>
            </w:pPr>
          </w:p>
        </w:tc>
        <w:tc>
          <w:tcPr>
            <w:tcW w:w="458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one (1) year after the election.</w:t>
            </w:r>
          </w:p>
        </w:tc>
      </w:tr>
      <w:tr>
        <w:trPr>
          <w:trHeight w:val="414"/>
        </w:trPr>
        <w:tc>
          <w:tcPr>
            <w:tcW w:w="4720" w:type="dxa"/>
            <w:vAlign w:val="bottom"/>
            <w:tcBorders>
              <w:left w:val="single" w:sz="8" w:color="auto"/>
            </w:tcBorders>
          </w:tcPr>
          <w:p>
            <w:pPr>
              <w:spacing w:after="0"/>
              <w:rPr>
                <w:sz w:val="24"/>
                <w:szCs w:val="24"/>
                <w:color w:val="auto"/>
              </w:rPr>
            </w:pPr>
          </w:p>
        </w:tc>
        <w:tc>
          <w:tcPr>
            <w:tcW w:w="920" w:type="dxa"/>
            <w:vAlign w:val="bottom"/>
            <w:tcBorders>
              <w:right w:val="single" w:sz="8" w:color="auto"/>
            </w:tcBorders>
          </w:tcPr>
          <w:p>
            <w:pPr>
              <w:spacing w:after="0"/>
              <w:rPr>
                <w:sz w:val="24"/>
                <w:szCs w:val="24"/>
                <w:color w:val="auto"/>
              </w:rPr>
            </w:pPr>
          </w:p>
        </w:tc>
        <w:tc>
          <w:tcPr>
            <w:tcW w:w="1020" w:type="dxa"/>
            <w:vAlign w:val="bottom"/>
          </w:tcPr>
          <w:p>
            <w:pPr>
              <w:spacing w:after="0"/>
              <w:rPr>
                <w:sz w:val="24"/>
                <w:szCs w:val="24"/>
                <w:color w:val="auto"/>
              </w:rPr>
            </w:pPr>
          </w:p>
        </w:tc>
        <w:tc>
          <w:tcPr>
            <w:tcW w:w="458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2. Unless otherwise resolved at the Ordinary General</w:t>
            </w:r>
          </w:p>
        </w:tc>
      </w:tr>
      <w:tr>
        <w:trPr>
          <w:trHeight w:val="216"/>
        </w:trPr>
        <w:tc>
          <w:tcPr>
            <w:tcW w:w="4720" w:type="dxa"/>
            <w:vAlign w:val="bottom"/>
            <w:tcBorders>
              <w:lef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1020" w:type="dxa"/>
            <w:vAlign w:val="bottom"/>
          </w:tcPr>
          <w:p>
            <w:pPr>
              <w:spacing w:after="0"/>
              <w:rPr>
                <w:sz w:val="18"/>
                <w:szCs w:val="18"/>
                <w:color w:val="auto"/>
              </w:rPr>
            </w:pPr>
          </w:p>
        </w:tc>
        <w:tc>
          <w:tcPr>
            <w:tcW w:w="458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Meeting  of  Shareholders  referred  to  in  the  preceding</w:t>
            </w:r>
          </w:p>
        </w:tc>
      </w:tr>
      <w:tr>
        <w:trPr>
          <w:trHeight w:val="216"/>
        </w:trPr>
        <w:tc>
          <w:tcPr>
            <w:tcW w:w="4720" w:type="dxa"/>
            <w:vAlign w:val="bottom"/>
            <w:tcBorders>
              <w:lef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1020" w:type="dxa"/>
            <w:vAlign w:val="bottom"/>
          </w:tcPr>
          <w:p>
            <w:pPr>
              <w:spacing w:after="0"/>
              <w:rPr>
                <w:sz w:val="18"/>
                <w:szCs w:val="18"/>
                <w:color w:val="auto"/>
              </w:rPr>
            </w:pPr>
          </w:p>
        </w:tc>
        <w:tc>
          <w:tcPr>
            <w:tcW w:w="458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paragraph, the Accounting Auditor shall be deemed to have</w:t>
            </w:r>
          </w:p>
        </w:tc>
      </w:tr>
      <w:tr>
        <w:trPr>
          <w:trHeight w:val="234"/>
        </w:trPr>
        <w:tc>
          <w:tcPr>
            <w:tcW w:w="4720" w:type="dxa"/>
            <w:vAlign w:val="bottom"/>
            <w:tcBorders>
              <w:lef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1020" w:type="dxa"/>
            <w:vAlign w:val="bottom"/>
          </w:tcPr>
          <w:p>
            <w:pPr>
              <w:spacing w:after="0"/>
              <w:rPr>
                <w:sz w:val="20"/>
                <w:szCs w:val="20"/>
                <w:color w:val="auto"/>
              </w:rPr>
            </w:pPr>
          </w:p>
        </w:tc>
        <w:tc>
          <w:tcPr>
            <w:tcW w:w="458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been reappointed at such meeting.</w:t>
            </w:r>
          </w:p>
        </w:tc>
      </w:tr>
      <w:tr>
        <w:trPr>
          <w:trHeight w:val="432"/>
        </w:trPr>
        <w:tc>
          <w:tcPr>
            <w:tcW w:w="4720" w:type="dxa"/>
            <w:vAlign w:val="bottom"/>
            <w:tcBorders>
              <w:left w:val="single" w:sz="8" w:color="auto"/>
            </w:tcBorders>
          </w:tcPr>
          <w:p>
            <w:pPr>
              <w:spacing w:after="0"/>
              <w:rPr>
                <w:sz w:val="24"/>
                <w:szCs w:val="24"/>
                <w:color w:val="auto"/>
              </w:rPr>
            </w:pPr>
          </w:p>
        </w:tc>
        <w:tc>
          <w:tcPr>
            <w:tcW w:w="920" w:type="dxa"/>
            <w:vAlign w:val="bottom"/>
            <w:tcBorders>
              <w:right w:val="single" w:sz="8" w:color="auto"/>
            </w:tcBorders>
          </w:tcPr>
          <w:p>
            <w:pPr>
              <w:spacing w:after="0"/>
              <w:rPr>
                <w:sz w:val="24"/>
                <w:szCs w:val="24"/>
                <w:color w:val="auto"/>
              </w:rPr>
            </w:pPr>
          </w:p>
        </w:tc>
        <w:tc>
          <w:tcPr>
            <w:tcW w:w="560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(Remuneration, etc. of Accounting Auditor)</w:t>
            </w:r>
          </w:p>
        </w:tc>
      </w:tr>
      <w:tr>
        <w:trPr>
          <w:trHeight w:val="414"/>
        </w:trPr>
        <w:tc>
          <w:tcPr>
            <w:tcW w:w="4720" w:type="dxa"/>
            <w:vAlign w:val="bottom"/>
            <w:tcBorders>
              <w:left w:val="single" w:sz="8" w:color="auto"/>
            </w:tcBorders>
          </w:tcPr>
          <w:p>
            <w:pPr>
              <w:spacing w:after="0"/>
              <w:rPr>
                <w:sz w:val="24"/>
                <w:szCs w:val="24"/>
                <w:color w:val="auto"/>
              </w:rPr>
            </w:pPr>
          </w:p>
        </w:tc>
        <w:tc>
          <w:tcPr>
            <w:tcW w:w="920" w:type="dxa"/>
            <w:vAlign w:val="bottom"/>
            <w:tcBorders>
              <w:right w:val="single" w:sz="8" w:color="auto"/>
            </w:tcBorders>
          </w:tcPr>
          <w:p>
            <w:pPr>
              <w:spacing w:after="0"/>
              <w:rPr>
                <w:sz w:val="24"/>
                <w:szCs w:val="24"/>
                <w:color w:val="auto"/>
              </w:rPr>
            </w:pPr>
          </w:p>
        </w:tc>
        <w:tc>
          <w:tcPr>
            <w:tcW w:w="1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Article 35</w:t>
            </w:r>
          </w:p>
        </w:tc>
        <w:tc>
          <w:tcPr>
            <w:tcW w:w="458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The remuneration, etc. of the Accounting Auditor shall be</w:t>
            </w:r>
          </w:p>
        </w:tc>
      </w:tr>
      <w:tr>
        <w:trPr>
          <w:trHeight w:val="216"/>
        </w:trPr>
        <w:tc>
          <w:tcPr>
            <w:tcW w:w="4720" w:type="dxa"/>
            <w:vAlign w:val="bottom"/>
            <w:tcBorders>
              <w:lef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1020" w:type="dxa"/>
            <w:vAlign w:val="bottom"/>
          </w:tcPr>
          <w:p>
            <w:pPr>
              <w:spacing w:after="0"/>
              <w:rPr>
                <w:sz w:val="18"/>
                <w:szCs w:val="18"/>
                <w:color w:val="auto"/>
              </w:rPr>
            </w:pPr>
          </w:p>
        </w:tc>
        <w:tc>
          <w:tcPr>
            <w:tcW w:w="458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determined by the Representative Director with the consent</w:t>
            </w:r>
          </w:p>
        </w:tc>
      </w:tr>
      <w:tr>
        <w:trPr>
          <w:trHeight w:val="234"/>
        </w:trPr>
        <w:tc>
          <w:tcPr>
            <w:tcW w:w="4720" w:type="dxa"/>
            <w:vAlign w:val="bottom"/>
            <w:tcBorders>
              <w:lef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1020" w:type="dxa"/>
            <w:vAlign w:val="bottom"/>
          </w:tcPr>
          <w:p>
            <w:pPr>
              <w:spacing w:after="0"/>
              <w:rPr>
                <w:sz w:val="20"/>
                <w:szCs w:val="20"/>
                <w:color w:val="auto"/>
              </w:rPr>
            </w:pPr>
          </w:p>
        </w:tc>
        <w:tc>
          <w:tcPr>
            <w:tcW w:w="458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of the Board of Corporate Auditors.</w:t>
            </w:r>
          </w:p>
        </w:tc>
      </w:tr>
      <w:tr>
        <w:trPr>
          <w:trHeight w:val="432"/>
        </w:trPr>
        <w:tc>
          <w:tcPr>
            <w:tcW w:w="4720" w:type="dxa"/>
            <w:vAlign w:val="bottom"/>
            <w:tcBorders>
              <w:left w:val="single" w:sz="8" w:color="auto"/>
            </w:tcBorders>
          </w:tcPr>
          <w:p>
            <w:pPr>
              <w:spacing w:after="0"/>
              <w:rPr>
                <w:sz w:val="24"/>
                <w:szCs w:val="24"/>
                <w:color w:val="auto"/>
              </w:rPr>
            </w:pPr>
          </w:p>
        </w:tc>
        <w:tc>
          <w:tcPr>
            <w:tcW w:w="920" w:type="dxa"/>
            <w:vAlign w:val="bottom"/>
            <w:tcBorders>
              <w:right w:val="single" w:sz="8" w:color="auto"/>
            </w:tcBorders>
          </w:tcPr>
          <w:p>
            <w:pPr>
              <w:spacing w:after="0"/>
              <w:rPr>
                <w:sz w:val="24"/>
                <w:szCs w:val="24"/>
                <w:color w:val="auto"/>
              </w:rPr>
            </w:pPr>
          </w:p>
        </w:tc>
        <w:tc>
          <w:tcPr>
            <w:tcW w:w="560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(Exemption from Liability of Accounting Auditor)</w:t>
            </w:r>
          </w:p>
        </w:tc>
      </w:tr>
      <w:tr>
        <w:trPr>
          <w:trHeight w:val="414"/>
        </w:trPr>
        <w:tc>
          <w:tcPr>
            <w:tcW w:w="4720" w:type="dxa"/>
            <w:vAlign w:val="bottom"/>
            <w:tcBorders>
              <w:left w:val="single" w:sz="8" w:color="auto"/>
            </w:tcBorders>
          </w:tcPr>
          <w:p>
            <w:pPr>
              <w:spacing w:after="0"/>
              <w:rPr>
                <w:sz w:val="24"/>
                <w:szCs w:val="24"/>
                <w:color w:val="auto"/>
              </w:rPr>
            </w:pPr>
          </w:p>
        </w:tc>
        <w:tc>
          <w:tcPr>
            <w:tcW w:w="920" w:type="dxa"/>
            <w:vAlign w:val="bottom"/>
            <w:tcBorders>
              <w:right w:val="single" w:sz="8" w:color="auto"/>
            </w:tcBorders>
          </w:tcPr>
          <w:p>
            <w:pPr>
              <w:spacing w:after="0"/>
              <w:rPr>
                <w:sz w:val="24"/>
                <w:szCs w:val="24"/>
                <w:color w:val="auto"/>
              </w:rPr>
            </w:pPr>
          </w:p>
        </w:tc>
        <w:tc>
          <w:tcPr>
            <w:tcW w:w="1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Article 36</w:t>
            </w:r>
          </w:p>
        </w:tc>
        <w:tc>
          <w:tcPr>
            <w:tcW w:w="458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The Company may, by resolution of the Board of Directors,</w:t>
            </w:r>
          </w:p>
        </w:tc>
      </w:tr>
      <w:tr>
        <w:trPr>
          <w:trHeight w:val="216"/>
        </w:trPr>
        <w:tc>
          <w:tcPr>
            <w:tcW w:w="4720" w:type="dxa"/>
            <w:vAlign w:val="bottom"/>
            <w:tcBorders>
              <w:lef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1020" w:type="dxa"/>
            <w:vAlign w:val="bottom"/>
          </w:tcPr>
          <w:p>
            <w:pPr>
              <w:spacing w:after="0"/>
              <w:rPr>
                <w:sz w:val="18"/>
                <w:szCs w:val="18"/>
                <w:color w:val="auto"/>
              </w:rPr>
            </w:pPr>
          </w:p>
        </w:tc>
        <w:tc>
          <w:tcPr>
            <w:tcW w:w="458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exempt  the  Accounting  Auditor  (including  former</w:t>
            </w:r>
          </w:p>
        </w:tc>
      </w:tr>
      <w:tr>
        <w:trPr>
          <w:trHeight w:val="216"/>
        </w:trPr>
        <w:tc>
          <w:tcPr>
            <w:tcW w:w="4720" w:type="dxa"/>
            <w:vAlign w:val="bottom"/>
            <w:tcBorders>
              <w:lef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1020" w:type="dxa"/>
            <w:vAlign w:val="bottom"/>
          </w:tcPr>
          <w:p>
            <w:pPr>
              <w:spacing w:after="0"/>
              <w:rPr>
                <w:sz w:val="18"/>
                <w:szCs w:val="18"/>
                <w:color w:val="auto"/>
              </w:rPr>
            </w:pPr>
          </w:p>
        </w:tc>
        <w:tc>
          <w:tcPr>
            <w:tcW w:w="458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Accounting Auditors) from liability for damages under</w:t>
            </w:r>
          </w:p>
        </w:tc>
      </w:tr>
      <w:tr>
        <w:trPr>
          <w:trHeight w:val="216"/>
        </w:trPr>
        <w:tc>
          <w:tcPr>
            <w:tcW w:w="4720" w:type="dxa"/>
            <w:vAlign w:val="bottom"/>
            <w:tcBorders>
              <w:lef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1020" w:type="dxa"/>
            <w:vAlign w:val="bottom"/>
          </w:tcPr>
          <w:p>
            <w:pPr>
              <w:spacing w:after="0"/>
              <w:rPr>
                <w:sz w:val="18"/>
                <w:szCs w:val="18"/>
                <w:color w:val="auto"/>
              </w:rPr>
            </w:pPr>
          </w:p>
        </w:tc>
        <w:tc>
          <w:tcPr>
            <w:tcW w:w="458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Article 423, Paragraph 1 of the Companies Act, to the</w:t>
            </w:r>
          </w:p>
        </w:tc>
      </w:tr>
      <w:tr>
        <w:trPr>
          <w:trHeight w:val="216"/>
        </w:trPr>
        <w:tc>
          <w:tcPr>
            <w:tcW w:w="4720" w:type="dxa"/>
            <w:vAlign w:val="bottom"/>
            <w:tcBorders>
              <w:lef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1020" w:type="dxa"/>
            <w:vAlign w:val="bottom"/>
          </w:tcPr>
          <w:p>
            <w:pPr>
              <w:spacing w:after="0"/>
              <w:rPr>
                <w:sz w:val="18"/>
                <w:szCs w:val="18"/>
                <w:color w:val="auto"/>
              </w:rPr>
            </w:pPr>
          </w:p>
        </w:tc>
        <w:tc>
          <w:tcPr>
            <w:tcW w:w="458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extent permitted by laws and regulations, limited to the</w:t>
            </w:r>
          </w:p>
        </w:tc>
      </w:tr>
      <w:tr>
        <w:trPr>
          <w:trHeight w:val="216"/>
        </w:trPr>
        <w:tc>
          <w:tcPr>
            <w:tcW w:w="4720" w:type="dxa"/>
            <w:vAlign w:val="bottom"/>
            <w:tcBorders>
              <w:lef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1020" w:type="dxa"/>
            <w:vAlign w:val="bottom"/>
          </w:tcPr>
          <w:p>
            <w:pPr>
              <w:spacing w:after="0"/>
              <w:rPr>
                <w:sz w:val="18"/>
                <w:szCs w:val="18"/>
                <w:color w:val="auto"/>
              </w:rPr>
            </w:pPr>
          </w:p>
        </w:tc>
        <w:tc>
          <w:tcPr>
            <w:tcW w:w="458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amount  obtained  by  deducting  the  minimum  liability</w:t>
            </w:r>
          </w:p>
        </w:tc>
      </w:tr>
      <w:tr>
        <w:trPr>
          <w:trHeight w:val="216"/>
        </w:trPr>
        <w:tc>
          <w:tcPr>
            <w:tcW w:w="4720" w:type="dxa"/>
            <w:vAlign w:val="bottom"/>
            <w:tcBorders>
              <w:lef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1020" w:type="dxa"/>
            <w:vAlign w:val="bottom"/>
          </w:tcPr>
          <w:p>
            <w:pPr>
              <w:spacing w:after="0"/>
              <w:rPr>
                <w:sz w:val="18"/>
                <w:szCs w:val="18"/>
                <w:color w:val="auto"/>
              </w:rPr>
            </w:pPr>
          </w:p>
        </w:tc>
        <w:tc>
          <w:tcPr>
            <w:tcW w:w="458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amount prescribed by laws and regulations from the total</w:t>
            </w:r>
          </w:p>
        </w:tc>
      </w:tr>
      <w:tr>
        <w:trPr>
          <w:trHeight w:val="234"/>
        </w:trPr>
        <w:tc>
          <w:tcPr>
            <w:tcW w:w="4720" w:type="dxa"/>
            <w:vAlign w:val="bottom"/>
            <w:tcBorders>
              <w:lef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1020" w:type="dxa"/>
            <w:vAlign w:val="bottom"/>
          </w:tcPr>
          <w:p>
            <w:pPr>
              <w:spacing w:after="0"/>
              <w:rPr>
                <w:sz w:val="20"/>
                <w:szCs w:val="20"/>
                <w:color w:val="auto"/>
              </w:rPr>
            </w:pPr>
          </w:p>
        </w:tc>
        <w:tc>
          <w:tcPr>
            <w:tcW w:w="458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amount of liability for damages.</w:t>
            </w:r>
          </w:p>
        </w:tc>
      </w:tr>
      <w:tr>
        <w:trPr>
          <w:trHeight w:val="414"/>
        </w:trPr>
        <w:tc>
          <w:tcPr>
            <w:tcW w:w="4720" w:type="dxa"/>
            <w:vAlign w:val="bottom"/>
            <w:tcBorders>
              <w:left w:val="single" w:sz="8" w:color="auto"/>
            </w:tcBorders>
          </w:tcPr>
          <w:p>
            <w:pPr>
              <w:spacing w:after="0"/>
              <w:rPr>
                <w:sz w:val="24"/>
                <w:szCs w:val="24"/>
                <w:color w:val="auto"/>
              </w:rPr>
            </w:pPr>
          </w:p>
        </w:tc>
        <w:tc>
          <w:tcPr>
            <w:tcW w:w="920" w:type="dxa"/>
            <w:vAlign w:val="bottom"/>
            <w:tcBorders>
              <w:right w:val="single" w:sz="8" w:color="auto"/>
            </w:tcBorders>
          </w:tcPr>
          <w:p>
            <w:pPr>
              <w:spacing w:after="0"/>
              <w:rPr>
                <w:sz w:val="24"/>
                <w:szCs w:val="24"/>
                <w:color w:val="auto"/>
              </w:rPr>
            </w:pPr>
          </w:p>
        </w:tc>
        <w:tc>
          <w:tcPr>
            <w:tcW w:w="1020" w:type="dxa"/>
            <w:vAlign w:val="bottom"/>
          </w:tcPr>
          <w:p>
            <w:pPr>
              <w:spacing w:after="0"/>
              <w:rPr>
                <w:sz w:val="24"/>
                <w:szCs w:val="24"/>
                <w:color w:val="auto"/>
              </w:rPr>
            </w:pPr>
          </w:p>
        </w:tc>
        <w:tc>
          <w:tcPr>
            <w:tcW w:w="458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2. Pursuant to Article 427, Paragraph 1 of the Companies</w:t>
            </w:r>
          </w:p>
        </w:tc>
      </w:tr>
      <w:tr>
        <w:trPr>
          <w:trHeight w:val="216"/>
        </w:trPr>
        <w:tc>
          <w:tcPr>
            <w:tcW w:w="4720" w:type="dxa"/>
            <w:vAlign w:val="bottom"/>
            <w:tcBorders>
              <w:lef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1020" w:type="dxa"/>
            <w:vAlign w:val="bottom"/>
          </w:tcPr>
          <w:p>
            <w:pPr>
              <w:spacing w:after="0"/>
              <w:rPr>
                <w:sz w:val="18"/>
                <w:szCs w:val="18"/>
                <w:color w:val="auto"/>
              </w:rPr>
            </w:pPr>
          </w:p>
        </w:tc>
        <w:tc>
          <w:tcPr>
            <w:tcW w:w="458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Act, the Company may enter into an agreement with the</w:t>
            </w:r>
          </w:p>
        </w:tc>
      </w:tr>
      <w:tr>
        <w:trPr>
          <w:trHeight w:val="216"/>
        </w:trPr>
        <w:tc>
          <w:tcPr>
            <w:tcW w:w="4720" w:type="dxa"/>
            <w:vAlign w:val="bottom"/>
            <w:tcBorders>
              <w:lef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1020" w:type="dxa"/>
            <w:vAlign w:val="bottom"/>
          </w:tcPr>
          <w:p>
            <w:pPr>
              <w:spacing w:after="0"/>
              <w:rPr>
                <w:sz w:val="18"/>
                <w:szCs w:val="18"/>
                <w:color w:val="auto"/>
              </w:rPr>
            </w:pPr>
          </w:p>
        </w:tc>
        <w:tc>
          <w:tcPr>
            <w:tcW w:w="458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Accounting Auditor limiting liability for damages arising</w:t>
            </w:r>
          </w:p>
        </w:tc>
      </w:tr>
      <w:tr>
        <w:trPr>
          <w:trHeight w:val="216"/>
        </w:trPr>
        <w:tc>
          <w:tcPr>
            <w:tcW w:w="4720" w:type="dxa"/>
            <w:vAlign w:val="bottom"/>
            <w:tcBorders>
              <w:lef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1020" w:type="dxa"/>
            <w:vAlign w:val="bottom"/>
          </w:tcPr>
          <w:p>
            <w:pPr>
              <w:spacing w:after="0"/>
              <w:rPr>
                <w:sz w:val="18"/>
                <w:szCs w:val="18"/>
                <w:color w:val="auto"/>
              </w:rPr>
            </w:pPr>
          </w:p>
        </w:tc>
        <w:tc>
          <w:tcPr>
            <w:tcW w:w="458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from negligence in the performance of duties; provided,</w:t>
            </w:r>
          </w:p>
        </w:tc>
      </w:tr>
      <w:tr>
        <w:trPr>
          <w:trHeight w:val="216"/>
        </w:trPr>
        <w:tc>
          <w:tcPr>
            <w:tcW w:w="4720" w:type="dxa"/>
            <w:vAlign w:val="bottom"/>
            <w:tcBorders>
              <w:lef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1020" w:type="dxa"/>
            <w:vAlign w:val="bottom"/>
          </w:tcPr>
          <w:p>
            <w:pPr>
              <w:spacing w:after="0"/>
              <w:rPr>
                <w:sz w:val="18"/>
                <w:szCs w:val="18"/>
                <w:color w:val="auto"/>
              </w:rPr>
            </w:pPr>
          </w:p>
        </w:tc>
        <w:tc>
          <w:tcPr>
            <w:tcW w:w="458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however, that the limit of liability under such agreement</w:t>
            </w:r>
          </w:p>
        </w:tc>
      </w:tr>
      <w:tr>
        <w:trPr>
          <w:trHeight w:val="216"/>
        </w:trPr>
        <w:tc>
          <w:tcPr>
            <w:tcW w:w="4720" w:type="dxa"/>
            <w:vAlign w:val="bottom"/>
            <w:tcBorders>
              <w:lef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1020" w:type="dxa"/>
            <w:vAlign w:val="bottom"/>
          </w:tcPr>
          <w:p>
            <w:pPr>
              <w:spacing w:after="0"/>
              <w:rPr>
                <w:sz w:val="18"/>
                <w:szCs w:val="18"/>
                <w:color w:val="auto"/>
              </w:rPr>
            </w:pPr>
          </w:p>
        </w:tc>
        <w:tc>
          <w:tcPr>
            <w:tcW w:w="458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shall be the higher of either an amount predetermined to be</w:t>
            </w:r>
          </w:p>
        </w:tc>
      </w:tr>
      <w:tr>
        <w:trPr>
          <w:trHeight w:val="216"/>
        </w:trPr>
        <w:tc>
          <w:tcPr>
            <w:tcW w:w="4720" w:type="dxa"/>
            <w:vAlign w:val="bottom"/>
            <w:tcBorders>
              <w:lef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1020" w:type="dxa"/>
            <w:vAlign w:val="bottom"/>
          </w:tcPr>
          <w:p>
            <w:pPr>
              <w:spacing w:after="0"/>
              <w:rPr>
                <w:sz w:val="18"/>
                <w:szCs w:val="18"/>
                <w:color w:val="auto"/>
              </w:rPr>
            </w:pPr>
          </w:p>
        </w:tc>
        <w:tc>
          <w:tcPr>
            <w:tcW w:w="458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no less than JPY 1,000,000 or the minimum liability</w:t>
            </w:r>
          </w:p>
        </w:tc>
      </w:tr>
      <w:tr>
        <w:trPr>
          <w:trHeight w:val="234"/>
        </w:trPr>
        <w:tc>
          <w:tcPr>
            <w:tcW w:w="4720" w:type="dxa"/>
            <w:vAlign w:val="bottom"/>
            <w:tcBorders>
              <w:left w:val="single" w:sz="8" w:color="auto"/>
              <w:bottom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4580" w:type="dxa"/>
            <w:vAlign w:val="bottom"/>
            <w:tcBorders>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amount prescribed by laws and regulations.</w:t>
            </w:r>
          </w:p>
        </w:tc>
      </w:tr>
      <w:tr>
        <w:trPr>
          <w:trHeight w:val="649"/>
        </w:trPr>
        <w:tc>
          <w:tcPr>
            <w:tcW w:w="47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2"/>
          </w:tcPr>
          <w:p>
            <w:pPr>
              <w:jc w:val="right"/>
              <w:ind w:right="790"/>
              <w:spacing w:after="0"/>
              <w:rPr>
                <w:sz w:val="20"/>
                <w:szCs w:val="20"/>
                <w:color w:val="auto"/>
              </w:rPr>
            </w:pPr>
            <w:r>
              <w:rPr>
                <w:rFonts w:ascii="Times New Roman" w:cs="Times New Roman" w:eastAsia="Times New Roman" w:hAnsi="Times New Roman"/>
                <w:sz w:val="18"/>
                <w:szCs w:val="18"/>
                <w:color w:val="auto"/>
              </w:rPr>
              <w:t>- 6 -</w:t>
            </w:r>
          </w:p>
        </w:tc>
        <w:tc>
          <w:tcPr>
            <w:tcW w:w="45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2"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(Attachments)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Business Report</w:t>
      </w:r>
    </w:p>
    <w:p>
      <w:pPr>
        <w:spacing w:after="0" w:line="20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From April 1, 2025</w:t>
      </w:r>
    </w:p>
    <w:p>
      <w:pPr>
        <w:spacing w:after="0" w:line="27"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To March 31, 2026</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Statutory Financial Statements Prepared in Accordance with Japanese GAAP</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Note: The statutory financial statements on the following pages have been prepared in accordance with Japanese GAAP. These results may differ in material respects from our audited consolidated financial results under U.S. GAAP that will be reported later and included in our Annual Report on Form 20-F, which will be filed with the U.S. Securities and Exchange Commission and available at www.sec.gov. The attached financial statements are provided to our shareholders and ADS holders solely in accordance with requirements under the Japanese Companies Act in connection with our Annual Meeting.</w:t>
      </w:r>
    </w:p>
    <w:p>
      <w:pPr>
        <w:spacing w:after="0" w:line="180"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Status of the Company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Progress and Results of the Project</w:t>
      </w:r>
    </w:p>
    <w:p>
      <w:pPr>
        <w:spacing w:after="0" w:line="225" w:lineRule="exact"/>
        <w:rPr>
          <w:sz w:val="20"/>
          <w:szCs w:val="20"/>
          <w:color w:val="auto"/>
        </w:rPr>
      </w:pPr>
    </w:p>
    <w:p>
      <w:pPr>
        <w:jc w:val="both"/>
        <w:ind w:left="340" w:firstLine="324"/>
        <w:spacing w:after="0" w:line="261" w:lineRule="auto"/>
        <w:rPr>
          <w:sz w:val="20"/>
          <w:szCs w:val="20"/>
          <w:color w:val="auto"/>
        </w:rPr>
      </w:pPr>
      <w:r>
        <w:rPr>
          <w:rFonts w:ascii="Times New Roman" w:cs="Times New Roman" w:eastAsia="Times New Roman" w:hAnsi="Times New Roman"/>
          <w:sz w:val="18"/>
          <w:szCs w:val="18"/>
          <w:color w:val="auto"/>
        </w:rPr>
        <w:t>During the current fiscal year, while the U.S. economy showed resilience in consumer spending and the employment market, significant regional disparities emerged due to factors such as the delayed recovery of the Chinese economy and concerns over an economic slowdown in Europe. As a result, the overall outlook remained uncertain. Furthermore, prolonged monetary tightening and ongoing geopolitical risks, coupled with exchange rate fluctuations, began to impact international trade.</w:t>
      </w:r>
    </w:p>
    <w:p>
      <w:pPr>
        <w:spacing w:after="0" w:line="180" w:lineRule="exact"/>
        <w:rPr>
          <w:sz w:val="20"/>
          <w:szCs w:val="20"/>
          <w:color w:val="auto"/>
        </w:rPr>
      </w:pPr>
    </w:p>
    <w:p>
      <w:pPr>
        <w:jc w:val="both"/>
        <w:ind w:left="340" w:firstLine="324"/>
        <w:spacing w:after="0" w:line="261" w:lineRule="auto"/>
        <w:rPr>
          <w:sz w:val="20"/>
          <w:szCs w:val="20"/>
          <w:color w:val="auto"/>
        </w:rPr>
      </w:pPr>
      <w:r>
        <w:rPr>
          <w:rFonts w:ascii="Times New Roman" w:cs="Times New Roman" w:eastAsia="Times New Roman" w:hAnsi="Times New Roman"/>
          <w:sz w:val="18"/>
          <w:szCs w:val="18"/>
          <w:color w:val="auto"/>
        </w:rPr>
        <w:t>In the domestic economy, a moderate recovery trend continued, driven by a recovery in consumer spending against the backdrop of improving employment and income conditions, as well as the expansion of inbound tourism demand. On the other hand, the environment surrounding corporate activities remains challenging, with issues such as a worsening labor shortage, persistently high resource and energy prices, and rising prices due to the weak yen.</w:t>
      </w:r>
    </w:p>
    <w:p>
      <w:pPr>
        <w:spacing w:after="0" w:line="180" w:lineRule="exact"/>
        <w:rPr>
          <w:sz w:val="20"/>
          <w:szCs w:val="20"/>
          <w:color w:val="auto"/>
        </w:rPr>
      </w:pPr>
    </w:p>
    <w:p>
      <w:pPr>
        <w:jc w:val="both"/>
        <w:ind w:left="340" w:firstLine="324"/>
        <w:spacing w:after="0" w:line="266" w:lineRule="auto"/>
        <w:rPr>
          <w:sz w:val="20"/>
          <w:szCs w:val="20"/>
          <w:color w:val="auto"/>
        </w:rPr>
      </w:pPr>
      <w:r>
        <w:rPr>
          <w:rFonts w:ascii="Times New Roman" w:cs="Times New Roman" w:eastAsia="Times New Roman" w:hAnsi="Times New Roman"/>
          <w:sz w:val="18"/>
          <w:szCs w:val="18"/>
          <w:color w:val="auto"/>
        </w:rPr>
        <w:t>Under these conditions, the Company has worked to secure sales opportunities while responding to changes in customer demand trends and shifts in regulatory and logistics environments in various countries, with the aim of stabilizing overseas transactions. At the same time, we have worked to strengthen our sales capabilities and improve operational efficiency at our domestic stores, striving to reinforce our earnings base.</w:t>
      </w:r>
    </w:p>
    <w:p>
      <w:pPr>
        <w:spacing w:after="0" w:line="176" w:lineRule="exact"/>
        <w:rPr>
          <w:sz w:val="20"/>
          <w:szCs w:val="20"/>
          <w:color w:val="auto"/>
        </w:rPr>
      </w:pPr>
    </w:p>
    <w:p>
      <w:pPr>
        <w:jc w:val="both"/>
        <w:ind w:left="340" w:firstLine="324"/>
        <w:spacing w:after="0" w:line="282" w:lineRule="auto"/>
        <w:rPr>
          <w:sz w:val="20"/>
          <w:szCs w:val="20"/>
          <w:color w:val="auto"/>
        </w:rPr>
      </w:pPr>
      <w:r>
        <w:rPr>
          <w:rFonts w:ascii="Times New Roman" w:cs="Times New Roman" w:eastAsia="Times New Roman" w:hAnsi="Times New Roman"/>
          <w:sz w:val="18"/>
          <w:szCs w:val="18"/>
          <w:color w:val="auto"/>
        </w:rPr>
        <w:t>As a result, for the current fiscal year, the Company’s net sales amounted to 38,783,862 thousand yen (up 59.1% year-on-year), operating income was 309,111 thousand yen (up 39.7% year-on-year), and ordinary income was 193,321 thousand yen (up 688.9% year-on-year).</w:t>
      </w:r>
    </w:p>
    <w:p>
      <w:pPr>
        <w:spacing w:after="0" w:line="162"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Fundraising Status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To fund working capital, we have borrowed 300,000,000 yen from Tokushin G.K. of which our Representative Director, Kanayama, serves as a representative partner.</w:t>
      </w:r>
    </w:p>
    <w:p>
      <w:pPr>
        <w:spacing w:after="0" w:line="377" w:lineRule="exact"/>
        <w:rPr>
          <w:rFonts w:ascii="MS PGothic" w:cs="MS PGothic" w:eastAsia="MS PGothic" w:hAnsi="MS PGothic"/>
          <w:sz w:val="18"/>
          <w:szCs w:val="18"/>
          <w:color w:val="auto"/>
        </w:rPr>
      </w:pPr>
    </w:p>
    <w:p>
      <w:pPr>
        <w:ind w:left="5580" w:hanging="106"/>
        <w:spacing w:after="0"/>
        <w:tabs>
          <w:tab w:leader="none" w:pos="5580"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4"/>
        </w:trPr>
        <w:tc>
          <w:tcPr>
            <w:tcW w:w="59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(3) Changes in Financial Position and Profit or Loss</w:t>
            </w: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5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w w:val="97"/>
              </w:rPr>
              <w:t>(Unit: 1,000 yen)</w:t>
            </w: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17th period</w:t>
            </w:r>
          </w:p>
        </w:tc>
        <w:tc>
          <w:tcPr>
            <w:tcW w:w="13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18th period</w:t>
            </w: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19th period</w:t>
            </w:r>
          </w:p>
        </w:tc>
        <w:tc>
          <w:tcPr>
            <w:tcW w:w="120" w:type="dxa"/>
            <w:vAlign w:val="bottom"/>
          </w:tcPr>
          <w:p>
            <w:pPr>
              <w:spacing w:after="0"/>
              <w:rPr>
                <w:sz w:val="18"/>
                <w:szCs w:val="18"/>
                <w:color w:val="auto"/>
              </w:rPr>
            </w:pP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20th period</w:t>
            </w: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6"/>
              </w:rPr>
              <w:t>Fiscal Year</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Fiscal Year</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Fiscal Year</w:t>
            </w:r>
          </w:p>
        </w:tc>
        <w:tc>
          <w:tcPr>
            <w:tcW w:w="120" w:type="dxa"/>
            <w:vAlign w:val="bottom"/>
          </w:tcPr>
          <w:p>
            <w:pPr>
              <w:spacing w:after="0"/>
              <w:rPr>
                <w:sz w:val="18"/>
                <w:szCs w:val="18"/>
                <w:color w:val="auto"/>
              </w:rPr>
            </w:pP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Fiscal Year</w:t>
            </w: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Ended March</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Ended March</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Ended March</w:t>
            </w:r>
          </w:p>
        </w:tc>
        <w:tc>
          <w:tcPr>
            <w:tcW w:w="1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Ended March</w:t>
            </w:r>
          </w:p>
        </w:tc>
      </w:tr>
      <w:tr>
        <w:trPr>
          <w:trHeight w:val="241"/>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Period \division</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26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22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00" w:type="dxa"/>
            <w:vAlign w:val="bottom"/>
          </w:tcPr>
          <w:p>
            <w:pPr>
              <w:spacing w:after="0"/>
              <w:rPr>
                <w:sz w:val="20"/>
                <w:szCs w:val="20"/>
                <w:color w:val="auto"/>
              </w:rPr>
            </w:pPr>
          </w:p>
        </w:tc>
        <w:tc>
          <w:tcPr>
            <w:tcW w:w="12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2026</w:t>
            </w:r>
          </w:p>
        </w:tc>
        <w:tc>
          <w:tcPr>
            <w:tcW w:w="100" w:type="dxa"/>
            <w:vAlign w:val="bottom"/>
          </w:tcPr>
          <w:p>
            <w:pPr>
              <w:spacing w:after="0"/>
              <w:rPr>
                <w:sz w:val="20"/>
                <w:szCs w:val="20"/>
                <w:color w:val="auto"/>
              </w:rPr>
            </w:pPr>
          </w:p>
        </w:tc>
      </w:tr>
      <w:tr>
        <w:trPr>
          <w:trHeight w:val="216"/>
        </w:trPr>
        <w:tc>
          <w:tcPr>
            <w:tcW w:w="5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21,667,575</w:t>
            </w: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25,615,177</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24,373,722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38,783,862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Ordinary Income</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192,962</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328,353</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24,506</w:t>
            </w: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193,321</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380" w:type="dxa"/>
            <w:vAlign w:val="bottom"/>
            <w:gridSpan w:val="2"/>
            <w:shd w:val="clear" w:color="auto" w:fill="CCEEFF"/>
          </w:tcPr>
          <w:p>
            <w:pPr>
              <w:jc w:val="right"/>
              <w:ind w:right="2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884,219</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216,417</w:t>
            </w:r>
          </w:p>
        </w:tc>
        <w:tc>
          <w:tcPr>
            <w:tcW w:w="1200" w:type="dxa"/>
            <w:vAlign w:val="bottom"/>
            <w:gridSpan w:val="2"/>
            <w:shd w:val="clear" w:color="auto" w:fill="CCEEFF"/>
          </w:tcPr>
          <w:p>
            <w:pPr>
              <w:jc w:val="right"/>
              <w:ind w:right="10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90,736</w:t>
            </w:r>
          </w:p>
        </w:tc>
        <w:tc>
          <w:tcPr>
            <w:tcW w:w="1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39,659</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per share(yen)</w:t>
            </w:r>
          </w:p>
        </w:tc>
        <w:tc>
          <w:tcPr>
            <w:tcW w:w="1380" w:type="dxa"/>
            <w:vAlign w:val="bottom"/>
            <w:gridSpan w:val="2"/>
          </w:tcPr>
          <w:p>
            <w:pPr>
              <w:jc w:val="right"/>
              <w:ind w:right="2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24</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1200" w:type="dxa"/>
            <w:vAlign w:val="bottom"/>
            <w:gridSpan w:val="2"/>
          </w:tcPr>
          <w:p>
            <w:pPr>
              <w:jc w:val="right"/>
              <w:ind w:right="10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w:t>
            </w: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22,505,180</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21,054,009</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18,704,887</w:t>
            </w:r>
          </w:p>
        </w:tc>
        <w:tc>
          <w:tcPr>
            <w:tcW w:w="1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30,583,696</w:t>
            </w:r>
          </w:p>
        </w:tc>
      </w:tr>
      <w:tr>
        <w:trPr>
          <w:trHeight w:val="234"/>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Worth</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4,701,910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5,701,950</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5,615,656</w:t>
            </w: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5,575,316</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Net income per share is calculated based on the total number of shares issued at the end of the fiscal year.</w:t>
      </w:r>
    </w:p>
    <w:p>
      <w:pPr>
        <w:spacing w:after="0" w:line="225"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Issues to be addressed by the company</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and financial issues that we should prioritize are as follows.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Improvement and Stabilization of Internal Control Systems</w:t>
      </w:r>
    </w:p>
    <w:p>
      <w:pPr>
        <w:spacing w:after="0" w:line="225" w:lineRule="exact"/>
        <w:rPr>
          <w:rFonts w:ascii="Times New Roman" w:cs="Times New Roman" w:eastAsia="Times New Roman" w:hAnsi="Times New Roman"/>
          <w:sz w:val="18"/>
          <w:szCs w:val="18"/>
          <w:color w:val="auto"/>
        </w:rPr>
      </w:pPr>
    </w:p>
    <w:p>
      <w:pPr>
        <w:jc w:val="both"/>
        <w:ind w:left="98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address the diversification of risks associated with our business expansion, we have been working to strengthen our internal control systems. Specifically, we have reviewed our business processes and ensured the thorough implementation and operation of internal controls, while also striving to raise compliance awareness and strengthen our risk management framework, thereby promoting the improvement and stabilization of our internal control systems.</w:t>
      </w:r>
    </w:p>
    <w:p>
      <w:pPr>
        <w:spacing w:after="0" w:line="17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the Business Model to Strengthen the Revenue Base</w:t>
      </w:r>
    </w:p>
    <w:p>
      <w:pPr>
        <w:spacing w:after="0" w:line="225" w:lineRule="exact"/>
        <w:rPr>
          <w:rFonts w:ascii="Times New Roman" w:cs="Times New Roman" w:eastAsia="Times New Roman" w:hAnsi="Times New Roman"/>
          <w:sz w:val="18"/>
          <w:szCs w:val="18"/>
          <w:color w:val="auto"/>
        </w:rPr>
      </w:pPr>
    </w:p>
    <w:p>
      <w:pPr>
        <w:jc w:val="both"/>
        <w:ind w:left="98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part of our efforts to achieve sustainable growth and improve profitability, we will review our operational structure and restructure our store strategy to improve the profitability of unprofitable stores in our domestic business. In our overseas business, we will work to stabilize existing transactions while promoting full-scale business expansion into Southeast Asia to expand our sales channels and strengthen our business foundation. Furthermore, to improve profitability across the entire company, we will work to improve profit margins by reviewing our product mix and transaction terms, and we will promote the restructuring of a sustainable business model.</w:t>
      </w:r>
    </w:p>
    <w:p>
      <w:pPr>
        <w:spacing w:after="0" w:line="183" w:lineRule="exact"/>
        <w:rPr>
          <w:rFonts w:ascii="Times New Roman" w:cs="Times New Roman" w:eastAsia="Times New Roman" w:hAnsi="Times New Roman"/>
          <w:sz w:val="18"/>
          <w:szCs w:val="18"/>
          <w:color w:val="auto"/>
        </w:rPr>
      </w:pPr>
    </w:p>
    <w:p>
      <w:pPr>
        <w:ind w:left="9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overcome the challenges outlined above, we will make every effort as a company. We ask for the continued guidance and support of our shareholders.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Principal Businesses (as of March 31, 2026)</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Management of domestic drug stores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Domestic e-commerce operation and management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Domestic and overseas (including trading) wholesale</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(6) Major business establishments and stores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Head Office</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2-5-9</w:t>
            </w:r>
          </w:p>
        </w:tc>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Kotobashi, Sumida-ku, Tokyo Harumi Building</w:t>
            </w:r>
          </w:p>
        </w:tc>
      </w:tr>
      <w:tr>
        <w:trPr>
          <w:trHeight w:val="216"/>
        </w:trPr>
        <w:tc>
          <w:tcPr>
            <w:tcW w:w="272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Tokyo Sales Department</w:t>
            </w:r>
          </w:p>
        </w:tc>
        <w:tc>
          <w:tcPr>
            <w:tcW w:w="85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16F, Island Triton Square Office Tower W, 1-8-8 Harumi, Chuo-ku, Tokyo</w:t>
            </w:r>
          </w:p>
        </w:tc>
      </w:tr>
      <w:tr>
        <w:trPr>
          <w:trHeight w:val="234"/>
        </w:trPr>
        <w:tc>
          <w:tcPr>
            <w:tcW w:w="22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Saitama Center</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3-1-5</w:t>
            </w:r>
          </w:p>
        </w:tc>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Koshigaya City Distribution Complex, Saitama</w:t>
            </w:r>
          </w:p>
        </w:tc>
      </w:tr>
      <w:tr>
        <w:trPr>
          <w:trHeight w:val="432"/>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Subsidiary Offices</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20" w:type="dxa"/>
            <w:vAlign w:val="bottom"/>
          </w:tcPr>
          <w:p>
            <w:pPr>
              <w:spacing w:after="0"/>
              <w:rPr>
                <w:sz w:val="24"/>
                <w:szCs w:val="24"/>
                <w:color w:val="auto"/>
              </w:rPr>
            </w:pPr>
          </w:p>
        </w:tc>
      </w:tr>
      <w:tr>
        <w:trPr>
          <w:trHeight w:val="459"/>
        </w:trPr>
        <w:tc>
          <w:tcPr>
            <w:tcW w:w="2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trade name</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7820" w:type="dxa"/>
            <w:vAlign w:val="bottom"/>
            <w:tcBorders>
              <w:bottom w:val="single" w:sz="8" w:color="auto"/>
            </w:tcBorders>
          </w:tcPr>
          <w:p>
            <w:pPr>
              <w:ind w:left="3100"/>
              <w:spacing w:after="0"/>
              <w:rPr>
                <w:sz w:val="20"/>
                <w:szCs w:val="20"/>
                <w:color w:val="auto"/>
              </w:rPr>
            </w:pPr>
            <w:r>
              <w:rPr>
                <w:rFonts w:ascii="Times New Roman" w:cs="Times New Roman" w:eastAsia="Times New Roman" w:hAnsi="Times New Roman"/>
                <w:sz w:val="18"/>
                <w:szCs w:val="18"/>
                <w:color w:val="auto"/>
              </w:rPr>
              <w:t>location</w:t>
            </w:r>
          </w:p>
        </w:tc>
      </w:tr>
      <w:tr>
        <w:trPr>
          <w:trHeight w:val="210"/>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Tokyo Lifestyle Limited</w:t>
            </w:r>
          </w:p>
        </w:tc>
        <w:tc>
          <w:tcPr>
            <w:tcW w:w="120" w:type="dxa"/>
            <w:vAlign w:val="bottom"/>
            <w:shd w:val="clear" w:color="auto" w:fill="CCEEFF"/>
          </w:tcPr>
          <w:p>
            <w:pPr>
              <w:spacing w:after="0"/>
              <w:rPr>
                <w:sz w:val="18"/>
                <w:szCs w:val="18"/>
                <w:color w:val="auto"/>
              </w:rPr>
            </w:pPr>
          </w:p>
        </w:tc>
        <w:tc>
          <w:tcPr>
            <w:tcW w:w="8860" w:type="dxa"/>
            <w:vAlign w:val="bottom"/>
            <w:gridSpan w:val="3"/>
            <w:shd w:val="clear" w:color="auto" w:fill="CCEEFF"/>
          </w:tcPr>
          <w:p>
            <w:pPr>
              <w:jc w:val="right"/>
              <w:ind w:right="2950"/>
              <w:spacing w:after="0"/>
              <w:rPr>
                <w:sz w:val="20"/>
                <w:szCs w:val="20"/>
                <w:color w:val="auto"/>
              </w:rPr>
            </w:pPr>
            <w:r>
              <w:rPr>
                <w:rFonts w:ascii="Times New Roman" w:cs="Times New Roman" w:eastAsia="Times New Roman" w:hAnsi="Times New Roman"/>
                <w:sz w:val="18"/>
                <w:szCs w:val="18"/>
                <w:color w:val="auto"/>
                <w:w w:val="98"/>
              </w:rPr>
              <w:t>Unit 11, 12/F., Wing On Plaza, No.62 Mody Road, Tsim Sha Tsui East, Kowloon</w:t>
            </w:r>
          </w:p>
        </w:tc>
      </w:tr>
      <w:tr>
        <w:trPr>
          <w:trHeight w:val="655"/>
        </w:trPr>
        <w:tc>
          <w:tcPr>
            <w:tcW w:w="2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7820" w:type="dxa"/>
            <w:vAlign w:val="bottom"/>
            <w:tcBorders>
              <w:bottom w:val="single" w:sz="8" w:color="auto"/>
            </w:tcBorders>
          </w:tcPr>
          <w:p>
            <w:pPr>
              <w:jc w:val="right"/>
              <w:ind w:right="5370"/>
              <w:spacing w:after="0"/>
              <w:rPr>
                <w:sz w:val="20"/>
                <w:szCs w:val="20"/>
                <w:color w:val="auto"/>
              </w:rPr>
            </w:pPr>
            <w:r>
              <w:rPr>
                <w:rFonts w:ascii="Times New Roman" w:cs="Times New Roman" w:eastAsia="Times New Roman" w:hAnsi="Times New Roman"/>
                <w:sz w:val="18"/>
                <w:szCs w:val="18"/>
                <w:color w:val="auto"/>
              </w:rPr>
              <w:t>- 8 -</w:t>
            </w:r>
          </w:p>
        </w:tc>
      </w:tr>
    </w:tbl>
    <w:p>
      <w:pPr>
        <w:sectPr>
          <w:pgSz w:w="11900" w:h="16838" w:orient="portrait"/>
          <w:cols w:equalWidth="0" w:num="1">
            <w:col w:w="11240"/>
          </w:cols>
          <w:pgMar w:left="320" w:top="904" w:right="33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names and locations of domestic drugstores are as follows</w:t>
            </w:r>
          </w:p>
        </w:tc>
        <w:tc>
          <w:tcPr>
            <w:tcW w:w="2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453"/>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Store Name</w:t>
            </w:r>
          </w:p>
        </w:tc>
        <w:tc>
          <w:tcPr>
            <w:tcW w:w="2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location</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Store Name</w:t>
            </w:r>
          </w:p>
        </w:tc>
        <w:tc>
          <w:tcPr>
            <w:tcW w:w="120" w:type="dxa"/>
            <w:vAlign w:val="bottom"/>
          </w:tcPr>
          <w:p>
            <w:pPr>
              <w:spacing w:after="0"/>
              <w:rPr>
                <w:sz w:val="24"/>
                <w:szCs w:val="24"/>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location</w:t>
            </w:r>
          </w:p>
        </w:tc>
      </w:tr>
      <w:tr>
        <w:trPr>
          <w:trHeight w:val="198"/>
        </w:trPr>
        <w:tc>
          <w:tcPr>
            <w:tcW w:w="282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Nishi Kasai Yokohama Chinatown</w:t>
            </w:r>
          </w:p>
        </w:tc>
        <w:tc>
          <w:tcPr>
            <w:tcW w:w="140" w:type="dxa"/>
            <w:vAlign w:val="bottom"/>
            <w:tcBorders>
              <w:top w:val="single" w:sz="8" w:color="CCEEFF"/>
            </w:tcBorders>
            <w:shd w:val="clear" w:color="auto" w:fill="CCEEFF"/>
          </w:tcPr>
          <w:p>
            <w:pPr>
              <w:spacing w:after="0"/>
              <w:rPr>
                <w:sz w:val="17"/>
                <w:szCs w:val="17"/>
                <w:color w:val="auto"/>
              </w:rPr>
            </w:pPr>
          </w:p>
        </w:tc>
        <w:tc>
          <w:tcPr>
            <w:tcW w:w="270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Edogawa-Ku, Tokyo Yokohama</w:t>
            </w:r>
          </w:p>
        </w:tc>
        <w:tc>
          <w:tcPr>
            <w:tcW w:w="100" w:type="dxa"/>
            <w:vAlign w:val="bottom"/>
            <w:tcBorders>
              <w:top w:val="single" w:sz="8" w:color="CCEEFF"/>
            </w:tcBorders>
            <w:shd w:val="clear" w:color="auto" w:fill="CCEEFF"/>
          </w:tcPr>
          <w:p>
            <w:pPr>
              <w:spacing w:after="0"/>
              <w:rPr>
                <w:sz w:val="17"/>
                <w:szCs w:val="17"/>
                <w:color w:val="auto"/>
              </w:rPr>
            </w:pPr>
          </w:p>
        </w:tc>
        <w:tc>
          <w:tcPr>
            <w:tcW w:w="268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Koshigaya-Ryutsudanchi Quiz Gate</w:t>
            </w:r>
          </w:p>
        </w:tc>
        <w:tc>
          <w:tcPr>
            <w:tcW w:w="120" w:type="dxa"/>
            <w:vAlign w:val="bottom"/>
            <w:tcBorders>
              <w:top w:val="single" w:sz="8" w:color="CCEEFF"/>
            </w:tcBorders>
            <w:shd w:val="clear" w:color="auto" w:fill="CCEEFF"/>
          </w:tcPr>
          <w:p>
            <w:pPr>
              <w:spacing w:after="0"/>
              <w:rPr>
                <w:sz w:val="17"/>
                <w:szCs w:val="17"/>
                <w:color w:val="auto"/>
              </w:rPr>
            </w:pPr>
          </w:p>
        </w:tc>
        <w:tc>
          <w:tcPr>
            <w:tcW w:w="268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Koshigaya City, Saitama Urawa</w:t>
            </w:r>
          </w:p>
        </w:tc>
      </w:tr>
      <w:tr>
        <w:trPr>
          <w:trHeight w:val="216"/>
        </w:trPr>
        <w:tc>
          <w:tcPr>
            <w:tcW w:w="2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City, Kanagawa</w:t>
            </w:r>
          </w:p>
        </w:tc>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Urawa Nishi Kawaguchi</w:t>
            </w:r>
          </w:p>
        </w:tc>
        <w:tc>
          <w:tcPr>
            <w:tcW w:w="28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City, Saitama Kawaguchi City,</w:t>
            </w:r>
          </w:p>
        </w:tc>
      </w:tr>
      <w:tr>
        <w:trPr>
          <w:trHeight w:val="234"/>
        </w:trPr>
        <w:tc>
          <w:tcPr>
            <w:tcW w:w="28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80" w:type="dxa"/>
            <w:vAlign w:val="bottom"/>
            <w:shd w:val="clear" w:color="auto" w:fill="CCEEFF"/>
          </w:tcPr>
          <w:p>
            <w:pPr>
              <w:spacing w:after="0"/>
              <w:rPr>
                <w:sz w:val="20"/>
                <w:szCs w:val="20"/>
                <w:color w:val="auto"/>
              </w:rPr>
            </w:pPr>
          </w:p>
        </w:tc>
        <w:tc>
          <w:tcPr>
            <w:tcW w:w="28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Saitama</w:t>
            </w:r>
          </w:p>
        </w:tc>
      </w:tr>
      <w:tr>
        <w:trPr>
          <w:trHeight w:val="432"/>
        </w:trPr>
        <w:tc>
          <w:tcPr>
            <w:tcW w:w="576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(7) Status of employees (as of March 31, 2026)</w:t>
            </w:r>
          </w:p>
        </w:tc>
        <w:tc>
          <w:tcPr>
            <w:tcW w:w="2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414"/>
        </w:trPr>
        <w:tc>
          <w:tcPr>
            <w:tcW w:w="2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Change from the end of the previous</w:t>
            </w:r>
          </w:p>
        </w:tc>
        <w:tc>
          <w:tcPr>
            <w:tcW w:w="2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241"/>
        </w:trPr>
        <w:tc>
          <w:tcPr>
            <w:tcW w:w="2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Number of Employees</w:t>
            </w:r>
          </w:p>
        </w:tc>
        <w:tc>
          <w:tcPr>
            <w:tcW w:w="2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fiscal year</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Average age</w:t>
            </w:r>
          </w:p>
        </w:tc>
        <w:tc>
          <w:tcPr>
            <w:tcW w:w="120" w:type="dxa"/>
            <w:vAlign w:val="bottom"/>
          </w:tcPr>
          <w:p>
            <w:pPr>
              <w:spacing w:after="0"/>
              <w:rPr>
                <w:sz w:val="20"/>
                <w:szCs w:val="20"/>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Average length of service</w:t>
            </w:r>
          </w:p>
        </w:tc>
      </w:tr>
      <w:tr>
        <w:trPr>
          <w:trHeight w:val="216"/>
        </w:trPr>
        <w:tc>
          <w:tcPr>
            <w:tcW w:w="2820" w:type="dxa"/>
            <w:vAlign w:val="bottom"/>
            <w:tcBorders>
              <w:top w:val="single" w:sz="8" w:color="auto"/>
            </w:tcBorders>
            <w:shd w:val="clear" w:color="auto" w:fill="CCEEFF"/>
          </w:tcPr>
          <w:p>
            <w:pPr>
              <w:jc w:val="right"/>
              <w:ind w:right="1230"/>
              <w:spacing w:after="0"/>
              <w:rPr>
                <w:sz w:val="20"/>
                <w:szCs w:val="20"/>
                <w:color w:val="auto"/>
              </w:rPr>
            </w:pPr>
            <w:r>
              <w:rPr>
                <w:rFonts w:ascii="Times New Roman" w:cs="Times New Roman" w:eastAsia="Times New Roman" w:hAnsi="Times New Roman"/>
                <w:sz w:val="18"/>
                <w:szCs w:val="18"/>
                <w:color w:val="auto"/>
              </w:rPr>
              <w:t>85</w:t>
            </w:r>
          </w:p>
        </w:tc>
        <w:tc>
          <w:tcPr>
            <w:tcW w:w="140" w:type="dxa"/>
            <w:vAlign w:val="bottom"/>
            <w:tcBorders>
              <w:top w:val="single" w:sz="8" w:color="CCEEFF"/>
            </w:tcBorders>
            <w:shd w:val="clear" w:color="auto" w:fill="CCEEFF"/>
          </w:tcPr>
          <w:p>
            <w:pPr>
              <w:spacing w:after="0"/>
              <w:rPr>
                <w:sz w:val="18"/>
                <w:szCs w:val="18"/>
                <w:color w:val="auto"/>
              </w:rPr>
            </w:pPr>
          </w:p>
        </w:tc>
        <w:tc>
          <w:tcPr>
            <w:tcW w:w="2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c>
          <w:tcPr>
            <w:tcW w:w="10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42 years and 5 months old</w:t>
            </w:r>
          </w:p>
        </w:tc>
        <w:tc>
          <w:tcPr>
            <w:tcW w:w="12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 years 3 months</w:t>
            </w:r>
          </w:p>
        </w:tc>
      </w:tr>
    </w:tbl>
    <w:p>
      <w:pPr>
        <w:spacing w:after="0" w:line="19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Note:</w:t>
        <w:tab/>
        <w:t>The number of employees includes part-time workers (34).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(8) Status of important subsidiaries</w:t>
            </w: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53"/>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Name</w:t>
            </w:r>
          </w:p>
        </w:tc>
        <w:tc>
          <w:tcPr>
            <w:tcW w:w="18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location</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Paid-in Capital</w:t>
            </w: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Description of Business</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Investment Ratio</w:t>
            </w:r>
          </w:p>
        </w:tc>
      </w:tr>
      <w:tr>
        <w:trPr>
          <w:trHeight w:val="198"/>
        </w:trPr>
        <w:tc>
          <w:tcPr>
            <w:tcW w:w="394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Tokyo Lifestyle Limited</w:t>
            </w:r>
          </w:p>
        </w:tc>
        <w:tc>
          <w:tcPr>
            <w:tcW w:w="14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Hong Kong</w:t>
            </w:r>
          </w:p>
        </w:tc>
        <w:tc>
          <w:tcPr>
            <w:tcW w:w="12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HK$15.95 million</w:t>
            </w:r>
          </w:p>
        </w:tc>
        <w:tc>
          <w:tcPr>
            <w:tcW w:w="100" w:type="dxa"/>
            <w:vAlign w:val="bottom"/>
            <w:tcBorders>
              <w:top w:val="single" w:sz="8" w:color="CCEEFF"/>
            </w:tcBorders>
            <w:shd w:val="clear" w:color="auto" w:fill="CCEEFF"/>
          </w:tcPr>
          <w:p>
            <w:pPr>
              <w:spacing w:after="0"/>
              <w:rPr>
                <w:sz w:val="17"/>
                <w:szCs w:val="17"/>
                <w:color w:val="auto"/>
              </w:rPr>
            </w:pPr>
          </w:p>
        </w:tc>
        <w:tc>
          <w:tcPr>
            <w:tcW w:w="180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Wholesale &amp; Retail</w:t>
            </w:r>
          </w:p>
        </w:tc>
        <w:tc>
          <w:tcPr>
            <w:tcW w:w="10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100</w:t>
            </w:r>
            <w:r>
              <w:rPr>
                <w:rFonts w:ascii="SimSun" w:cs="SimSun" w:eastAsia="SimSun" w:hAnsi="SimSun"/>
                <w:sz w:val="18"/>
                <w:szCs w:val="18"/>
                <w:color w:val="auto"/>
              </w:rPr>
              <w:t>％</w:t>
            </w:r>
          </w:p>
        </w:tc>
      </w:tr>
      <w:tr>
        <w:trPr>
          <w:trHeight w:val="234"/>
        </w:trPr>
        <w:tc>
          <w:tcPr>
            <w:tcW w:w="39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9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5"/>
              </w:rPr>
              <w:t>Trade</w:t>
            </w:r>
          </w:p>
        </w:tc>
        <w:tc>
          <w:tcPr>
            <w:tcW w:w="1680" w:type="dxa"/>
            <w:vAlign w:val="bottom"/>
            <w:shd w:val="clear" w:color="auto" w:fill="CCEEFF"/>
          </w:tcPr>
          <w:p>
            <w:pPr>
              <w:spacing w:after="0"/>
              <w:rPr>
                <w:sz w:val="20"/>
                <w:szCs w:val="20"/>
                <w:color w:val="auto"/>
              </w:rPr>
            </w:pPr>
          </w:p>
        </w:tc>
      </w:tr>
    </w:tbl>
    <w:p>
      <w:pPr>
        <w:spacing w:after="0" w:line="198" w:lineRule="exact"/>
        <w:rPr>
          <w:sz w:val="20"/>
          <w:szCs w:val="20"/>
          <w:color w:val="auto"/>
        </w:rPr>
      </w:pPr>
    </w:p>
    <w:p>
      <w:pPr>
        <w:ind w:left="660" w:right="5920" w:hanging="328"/>
        <w:spacing w:after="0" w:line="347" w:lineRule="exact"/>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Major borrowers and borrowing amounts (as of March 31, 2026) </w:t>
      </w:r>
      <w:r>
        <w:rPr>
          <w:rFonts w:ascii="MS PGothic" w:cs="MS PGothic" w:eastAsia="MS PGothic" w:hAnsi="MS PGothic"/>
          <w:sz w:val="18"/>
          <w:szCs w:val="18"/>
          <w:color w:val="auto"/>
        </w:rPr>
        <w:t>①</w:t>
      </w:r>
      <w:r>
        <w:rPr>
          <w:rFonts w:ascii="Times New Roman" w:cs="Times New Roman" w:eastAsia="Times New Roman" w:hAnsi="Times New Roman"/>
          <w:sz w:val="18"/>
          <w:szCs w:val="18"/>
          <w:color w:val="auto"/>
        </w:rPr>
        <w:t xml:space="preserve"> Commitment Line Agreement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97"/>
              </w:rPr>
              <w:t>(Unit: 1,000 yen)</w:t>
            </w:r>
          </w:p>
        </w:tc>
      </w:tr>
      <w:tr>
        <w:trPr>
          <w:trHeight w:val="241"/>
        </w:trPr>
        <w:tc>
          <w:tcPr>
            <w:tcW w:w="9520" w:type="dxa"/>
            <w:vAlign w:val="bottom"/>
          </w:tcPr>
          <w:p>
            <w:pPr>
              <w:spacing w:after="0"/>
              <w:rPr>
                <w:sz w:val="20"/>
                <w:szCs w:val="20"/>
                <w:color w:val="auto"/>
              </w:rPr>
            </w:pPr>
            <w:r>
              <w:rPr>
                <w:rFonts w:ascii="Times New Roman" w:cs="Times New Roman" w:eastAsia="Times New Roman" w:hAnsi="Times New Roman"/>
                <w:sz w:val="18"/>
                <w:szCs w:val="18"/>
                <w:color w:val="auto"/>
              </w:rPr>
              <w:t>Loans</w:t>
            </w:r>
          </w:p>
        </w:tc>
        <w:tc>
          <w:tcPr>
            <w:tcW w:w="1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Outstanding Balance</w:t>
            </w:r>
          </w:p>
        </w:tc>
      </w:tr>
      <w:tr>
        <w:trPr>
          <w:trHeight w:val="216"/>
        </w:trPr>
        <w:tc>
          <w:tcPr>
            <w:tcW w:w="9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Mizuho Bank Ltd.</w:t>
            </w:r>
          </w:p>
        </w:tc>
        <w:tc>
          <w:tcPr>
            <w:tcW w:w="12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1,248,614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520" w:type="dxa"/>
            <w:vAlign w:val="bottom"/>
          </w:tcPr>
          <w:p>
            <w:pPr>
              <w:spacing w:after="0"/>
              <w:rPr>
                <w:sz w:val="20"/>
                <w:szCs w:val="20"/>
                <w:color w:val="auto"/>
              </w:rPr>
            </w:pPr>
            <w:r>
              <w:rPr>
                <w:rFonts w:ascii="Times New Roman" w:cs="Times New Roman" w:eastAsia="Times New Roman" w:hAnsi="Times New Roman"/>
                <w:sz w:val="18"/>
                <w:szCs w:val="18"/>
                <w:color w:val="auto"/>
              </w:rPr>
              <w:t>MUFG Bank Ltd.</w:t>
            </w:r>
          </w:p>
        </w:tc>
        <w:tc>
          <w:tcPr>
            <w:tcW w:w="17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1,025,724</w:t>
            </w:r>
          </w:p>
        </w:tc>
      </w:tr>
      <w:tr>
        <w:trPr>
          <w:trHeight w:val="216"/>
        </w:trPr>
        <w:tc>
          <w:tcPr>
            <w:tcW w:w="9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Resona Bank, Inc.</w:t>
            </w:r>
          </w:p>
        </w:tc>
        <w:tc>
          <w:tcPr>
            <w:tcW w:w="17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841,096</w:t>
            </w:r>
          </w:p>
        </w:tc>
      </w:tr>
      <w:tr>
        <w:trPr>
          <w:trHeight w:val="234"/>
        </w:trPr>
        <w:tc>
          <w:tcPr>
            <w:tcW w:w="9520" w:type="dxa"/>
            <w:vAlign w:val="bottom"/>
          </w:tcPr>
          <w:p>
            <w:pPr>
              <w:spacing w:after="0"/>
              <w:rPr>
                <w:sz w:val="20"/>
                <w:szCs w:val="20"/>
                <w:color w:val="auto"/>
              </w:rPr>
            </w:pPr>
            <w:r>
              <w:rPr>
                <w:rFonts w:ascii="Times New Roman" w:cs="Times New Roman" w:eastAsia="Times New Roman" w:hAnsi="Times New Roman"/>
                <w:sz w:val="18"/>
                <w:szCs w:val="18"/>
                <w:color w:val="auto"/>
              </w:rPr>
              <w:t>Sumitomo Mitsui Banking Corporation, Ltd.</w:t>
            </w:r>
          </w:p>
        </w:tc>
        <w:tc>
          <w:tcPr>
            <w:tcW w:w="17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756,986</w:t>
            </w:r>
          </w:p>
        </w:tc>
      </w:tr>
    </w:tbl>
    <w:p>
      <w:pPr>
        <w:spacing w:after="0" w:line="179" w:lineRule="exact"/>
        <w:rPr>
          <w:sz w:val="20"/>
          <w:szCs w:val="20"/>
          <w:color w:val="auto"/>
        </w:rPr>
      </w:pPr>
    </w:p>
    <w:p>
      <w:pPr>
        <w:jc w:val="both"/>
        <w:ind w:left="660" w:hanging="971"/>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Note:</w:t>
        <w:tab/>
        <w:t>1. To procure stable and efficient working capital, the Company has entered into a commitment line agreement with a maximum borrowing amount of 7,850,000,000 yen. The agreement is a syndicated loan and is cofinanced by a total of 17 banks led by MUFG Bank, Ltd. and Mizuho Bank, Ltd.</w:t>
      </w:r>
    </w:p>
    <w:p>
      <w:pPr>
        <w:spacing w:after="0" w:line="176" w:lineRule="exact"/>
        <w:rPr>
          <w:sz w:val="20"/>
          <w:szCs w:val="20"/>
          <w:color w:val="auto"/>
        </w:rPr>
      </w:pPr>
    </w:p>
    <w:p>
      <w:pPr>
        <w:spacing w:after="0"/>
        <w:tabs>
          <w:tab w:leader="none" w:pos="640" w:val="left"/>
          <w:tab w:leader="none" w:pos="960" w:val="left"/>
        </w:tabs>
        <w:rPr>
          <w:sz w:val="20"/>
          <w:szCs w:val="20"/>
          <w:color w:val="auto"/>
        </w:rPr>
      </w:pPr>
      <w:r>
        <w:rPr>
          <w:rFonts w:ascii="Times New Roman" w:cs="Times New Roman" w:eastAsia="Times New Roman" w:hAnsi="Times New Roman"/>
          <w:sz w:val="18"/>
          <w:szCs w:val="18"/>
          <w:color w:val="auto"/>
        </w:rPr>
        <w:t>Note:</w:t>
        <w:tab/>
        <w:t>2.</w:t>
        <w:tab/>
        <w:t>The outstanding balance of loans executed at the end of the fiscal year under this contract is 6,732,147,000 yen.</w:t>
      </w:r>
    </w:p>
    <w:p>
      <w:pPr>
        <w:spacing w:after="0" w:line="225"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Status of Stocks (as of March 31, 2026)</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9"/>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Total number of shares authorized: 100,000,000 shares</w:t>
      </w:r>
    </w:p>
    <w:p>
      <w:pPr>
        <w:spacing w:after="0" w:line="225" w:lineRule="exact"/>
        <w:rPr>
          <w:sz w:val="20"/>
          <w:szCs w:val="20"/>
          <w:color w:val="auto"/>
        </w:rPr>
      </w:pPr>
    </w:p>
    <w:p>
      <w:pPr>
        <w:ind w:left="980" w:hanging="324"/>
        <w:spacing w:after="0"/>
        <w:tabs>
          <w:tab w:leader="none" w:pos="980" w:val="left"/>
        </w:tabs>
        <w:numPr>
          <w:ilvl w:val="0"/>
          <w:numId w:val="1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Total number of shares issued: 42,327,806 shares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303"/>
        </w:trPr>
        <w:tc>
          <w:tcPr>
            <w:tcW w:w="900" w:type="dxa"/>
            <w:vAlign w:val="bottom"/>
          </w:tcPr>
          <w:p>
            <w:pPr>
              <w:ind w:left="660"/>
              <w:spacing w:after="0" w:line="181" w:lineRule="exact"/>
              <w:rPr>
                <w:sz w:val="20"/>
                <w:szCs w:val="20"/>
                <w:color w:val="auto"/>
              </w:rPr>
            </w:pPr>
            <w:r>
              <w:rPr>
                <w:rFonts w:ascii="MS PGothic" w:cs="MS PGothic" w:eastAsia="MS PGothic" w:hAnsi="MS PGothic"/>
                <w:sz w:val="18"/>
                <w:szCs w:val="18"/>
                <w:color w:val="auto"/>
              </w:rPr>
              <w:t>③</w:t>
            </w:r>
          </w:p>
        </w:tc>
        <w:tc>
          <w:tcPr>
            <w:tcW w:w="74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Number of shareholders: 3</w:t>
            </w: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32"/>
        </w:trPr>
        <w:tc>
          <w:tcPr>
            <w:tcW w:w="900" w:type="dxa"/>
            <w:vAlign w:val="bottom"/>
          </w:tcPr>
          <w:p>
            <w:pPr>
              <w:ind w:left="660"/>
              <w:spacing w:after="0" w:line="181" w:lineRule="exact"/>
              <w:rPr>
                <w:sz w:val="20"/>
                <w:szCs w:val="20"/>
                <w:color w:val="auto"/>
              </w:rPr>
            </w:pPr>
            <w:r>
              <w:rPr>
                <w:rFonts w:ascii="MS PGothic" w:cs="MS PGothic" w:eastAsia="MS PGothic" w:hAnsi="MS PGothic"/>
                <w:sz w:val="18"/>
                <w:szCs w:val="18"/>
                <w:color w:val="auto"/>
              </w:rPr>
              <w:t>④</w:t>
            </w:r>
          </w:p>
        </w:tc>
        <w:tc>
          <w:tcPr>
            <w:tcW w:w="74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Principal Shareholders</w:t>
            </w: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86"/>
        </w:trPr>
        <w:tc>
          <w:tcPr>
            <w:tcW w:w="900" w:type="dxa"/>
            <w:vAlign w:val="bottom"/>
          </w:tcPr>
          <w:p>
            <w:pPr>
              <w:spacing w:after="0"/>
              <w:rPr>
                <w:sz w:val="24"/>
                <w:szCs w:val="24"/>
                <w:color w:val="auto"/>
              </w:rPr>
            </w:pPr>
          </w:p>
        </w:tc>
        <w:tc>
          <w:tcPr>
            <w:tcW w:w="7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Number of shares</w:t>
            </w:r>
          </w:p>
        </w:tc>
        <w:tc>
          <w:tcPr>
            <w:tcW w:w="12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Percentage</w:t>
            </w:r>
          </w:p>
        </w:tc>
      </w:tr>
      <w:tr>
        <w:trPr>
          <w:trHeight w:val="241"/>
        </w:trPr>
        <w:tc>
          <w:tcPr>
            <w:tcW w:w="8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Name of Shareholder</w:t>
            </w: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held</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of shares held</w:t>
            </w:r>
          </w:p>
        </w:tc>
      </w:tr>
      <w:tr>
        <w:trPr>
          <w:trHeight w:val="216"/>
        </w:trPr>
        <w:tc>
          <w:tcPr>
            <w:tcW w:w="82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BANK OF NEW YORK MELLON</w:t>
            </w:r>
          </w:p>
        </w:tc>
        <w:tc>
          <w:tcPr>
            <w:tcW w:w="12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21,536,266 shares</w:t>
            </w:r>
          </w:p>
        </w:tc>
        <w:tc>
          <w:tcPr>
            <w:tcW w:w="1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50.88%</w:t>
            </w:r>
          </w:p>
        </w:tc>
      </w:tr>
      <w:tr>
        <w:trPr>
          <w:trHeight w:val="216"/>
        </w:trPr>
        <w:tc>
          <w:tcPr>
            <w:tcW w:w="8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Tokushin G.K.</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13,575,104 shares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32.07%</w:t>
            </w:r>
          </w:p>
        </w:tc>
      </w:tr>
      <w:tr>
        <w:trPr>
          <w:trHeight w:val="216"/>
        </w:trPr>
        <w:tc>
          <w:tcPr>
            <w:tcW w:w="8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Mei Kanayama</w:t>
            </w:r>
          </w:p>
        </w:tc>
        <w:tc>
          <w:tcPr>
            <w:tcW w:w="16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7,216,436 shares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NOTE: THE BANK OF NEW YORK MELLON IS A DEPOSITARY SECURITIES COMPANY THAT ISSUES AMERICAN DEPOSITARY RECEIPTS (ADR).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ind w:left="332" w:hanging="332"/>
        <w:spacing w:after="0"/>
        <w:tabs>
          <w:tab w:leader="none" w:pos="33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Matters Concerning the Company’s Stock Acquisition Rights, etc. (as of March 31, 2026)</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52" w:hanging="328"/>
        <w:spacing w:after="0"/>
        <w:tabs>
          <w:tab w:leader="none" w:pos="65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series of stock acquisition rights</w:t>
      </w:r>
    </w:p>
    <w:p>
      <w:pPr>
        <w:spacing w:after="0" w:line="184" w:lineRule="exact"/>
        <w:rPr>
          <w:rFonts w:ascii="Times New Roman" w:cs="Times New Roman" w:eastAsia="Times New Roman" w:hAnsi="Times New Roman"/>
          <w:sz w:val="18"/>
          <w:szCs w:val="18"/>
          <w:color w:val="auto"/>
        </w:rPr>
      </w:pPr>
    </w:p>
    <w:p>
      <w:pPr>
        <w:ind w:left="652"/>
        <w:spacing w:after="0" w:line="207"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①</w:t>
      </w:r>
      <w:r>
        <w:rPr>
          <w:rFonts w:ascii="Times New Roman" w:cs="Times New Roman" w:eastAsia="Times New Roman" w:hAnsi="Times New Roman"/>
          <w:sz w:val="18"/>
          <w:szCs w:val="18"/>
          <w:color w:val="auto"/>
        </w:rPr>
        <w:t xml:space="preserve"> Total number of stock acquisition rights: 300,000 units</w:t>
      </w:r>
    </w:p>
    <w:p>
      <w:pPr>
        <w:spacing w:after="0" w:line="266" w:lineRule="exact"/>
        <w:rPr>
          <w:sz w:val="20"/>
          <w:szCs w:val="20"/>
          <w:color w:val="auto"/>
        </w:rPr>
      </w:pPr>
    </w:p>
    <w:p>
      <w:pPr>
        <w:ind w:left="972" w:hanging="324"/>
        <w:spacing w:after="0" w:line="282" w:lineRule="auto"/>
        <w:tabs>
          <w:tab w:leader="none" w:pos="972" w:val="left"/>
        </w:tabs>
        <w:numPr>
          <w:ilvl w:val="0"/>
          <w:numId w:val="1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Type and number of shares subject to stock acquisition rights 300,000 shares of the Company’s common stock represented by U.S. depositary shares in the U.S.</w:t>
      </w:r>
    </w:p>
    <w:p>
      <w:pPr>
        <w:spacing w:after="0" w:line="162" w:lineRule="exact"/>
        <w:rPr>
          <w:sz w:val="20"/>
          <w:szCs w:val="20"/>
          <w:color w:val="auto"/>
        </w:rPr>
      </w:pPr>
    </w:p>
    <w:p>
      <w:pPr>
        <w:ind w:left="972" w:hanging="324"/>
        <w:spacing w:after="0"/>
        <w:tabs>
          <w:tab w:leader="none" w:pos="972" w:val="left"/>
        </w:tabs>
        <w:numPr>
          <w:ilvl w:val="0"/>
          <w:numId w:val="1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Amount paid for stock acquisition rights</w:t>
      </w:r>
    </w:p>
    <w:p>
      <w:pPr>
        <w:spacing w:after="0" w:line="225" w:lineRule="exact"/>
        <w:rPr>
          <w:sz w:val="20"/>
          <w:szCs w:val="20"/>
          <w:color w:val="auto"/>
        </w:rPr>
      </w:pPr>
    </w:p>
    <w:p>
      <w:pPr>
        <w:ind w:left="972"/>
        <w:spacing w:after="0"/>
        <w:rPr>
          <w:sz w:val="20"/>
          <w:szCs w:val="20"/>
          <w:color w:val="auto"/>
        </w:rPr>
      </w:pPr>
      <w:r>
        <w:rPr>
          <w:rFonts w:ascii="Times New Roman" w:cs="Times New Roman" w:eastAsia="Times New Roman" w:hAnsi="Times New Roman"/>
          <w:sz w:val="18"/>
          <w:szCs w:val="18"/>
          <w:color w:val="auto"/>
        </w:rPr>
        <w:t>US$0.01 divided by the number of Stock Acquisition Rights offered</w:t>
      </w:r>
    </w:p>
    <w:p>
      <w:pPr>
        <w:spacing w:after="0" w:line="225" w:lineRule="exact"/>
        <w:rPr>
          <w:sz w:val="20"/>
          <w:szCs w:val="20"/>
          <w:color w:val="auto"/>
        </w:rPr>
      </w:pPr>
    </w:p>
    <w:p>
      <w:pPr>
        <w:ind w:left="972" w:right="5560" w:hanging="324"/>
        <w:spacing w:after="0" w:line="477" w:lineRule="auto"/>
        <w:tabs>
          <w:tab w:leader="none" w:pos="972" w:val="left"/>
        </w:tabs>
        <w:numPr>
          <w:ilvl w:val="0"/>
          <w:numId w:val="1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Value of assets invested in the exercise of stock acquisition rights US$4.80 per common stock</w:t>
      </w:r>
    </w:p>
    <w:p>
      <w:pPr>
        <w:spacing w:after="0" w:line="41" w:lineRule="exact"/>
        <w:rPr>
          <w:sz w:val="20"/>
          <w:szCs w:val="20"/>
          <w:color w:val="auto"/>
        </w:rPr>
      </w:pPr>
    </w:p>
    <w:p>
      <w:pPr>
        <w:ind w:left="972" w:right="7040" w:hanging="324"/>
        <w:spacing w:after="0" w:line="477" w:lineRule="auto"/>
        <w:tabs>
          <w:tab w:leader="none" w:pos="972" w:val="left"/>
        </w:tabs>
        <w:numPr>
          <w:ilvl w:val="0"/>
          <w:numId w:val="1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Period for exercising stock acquisition rights From July 6, 2022, to January 7, 2027</w:t>
      </w:r>
    </w:p>
    <w:p>
      <w:pPr>
        <w:spacing w:after="0" w:line="41" w:lineRule="exact"/>
        <w:rPr>
          <w:sz w:val="20"/>
          <w:szCs w:val="20"/>
          <w:color w:val="auto"/>
        </w:rPr>
      </w:pPr>
    </w:p>
    <w:p>
      <w:pPr>
        <w:ind w:left="972" w:hanging="324"/>
        <w:spacing w:after="0"/>
        <w:tabs>
          <w:tab w:leader="none" w:pos="972" w:val="left"/>
        </w:tabs>
        <w:numPr>
          <w:ilvl w:val="0"/>
          <w:numId w:val="1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Increased capital and capital reserves in the case of issuance of shares through the exercise of stock acquisition rights</w:t>
      </w:r>
    </w:p>
    <w:p>
      <w:pPr>
        <w:spacing w:after="0" w:line="225" w:lineRule="exact"/>
        <w:rPr>
          <w:rFonts w:ascii="MS PGothic" w:cs="MS PGothic" w:eastAsia="MS PGothic" w:hAnsi="MS PGothic"/>
          <w:sz w:val="18"/>
          <w:szCs w:val="18"/>
          <w:color w:val="auto"/>
        </w:rPr>
      </w:pPr>
    </w:p>
    <w:p>
      <w:pPr>
        <w:ind w:left="1292" w:hanging="320"/>
        <w:spacing w:after="0"/>
        <w:tabs>
          <w:tab w:leader="none" w:pos="1292"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of capital increased by the exercise of stock acquisition rights</w:t>
      </w:r>
    </w:p>
    <w:p>
      <w:pPr>
        <w:spacing w:after="0" w:line="225" w:lineRule="exact"/>
        <w:rPr>
          <w:rFonts w:ascii="Times New Roman" w:cs="Times New Roman" w:eastAsia="Times New Roman" w:hAnsi="Times New Roman"/>
          <w:sz w:val="18"/>
          <w:szCs w:val="18"/>
          <w:color w:val="auto"/>
        </w:rPr>
      </w:pPr>
    </w:p>
    <w:p>
      <w:pPr>
        <w:jc w:val="both"/>
        <w:ind w:left="1292"/>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shall be one-half of the maximum amount of increase in capital, etc., calculated in accordance with the provisions of Article 17, Paragraph 1 of the Company Accounting Regulations, and if a fraction of less than 1 yen is obtained because of the calculation, the amount shall be rounded up.</w:t>
      </w:r>
    </w:p>
    <w:p>
      <w:pPr>
        <w:spacing w:after="0" w:line="175" w:lineRule="exact"/>
        <w:rPr>
          <w:rFonts w:ascii="Times New Roman" w:cs="Times New Roman" w:eastAsia="Times New Roman" w:hAnsi="Times New Roman"/>
          <w:sz w:val="18"/>
          <w:szCs w:val="18"/>
          <w:color w:val="auto"/>
        </w:rPr>
      </w:pPr>
    </w:p>
    <w:p>
      <w:pPr>
        <w:ind w:left="1292" w:hanging="320"/>
        <w:spacing w:after="0"/>
        <w:tabs>
          <w:tab w:leader="none" w:pos="1292"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of capital reserves to increase due to the exercise of stock acquisition rights</w:t>
      </w:r>
    </w:p>
    <w:p>
      <w:pPr>
        <w:spacing w:after="0" w:line="225" w:lineRule="exact"/>
        <w:rPr>
          <w:sz w:val="20"/>
          <w:szCs w:val="20"/>
          <w:color w:val="auto"/>
        </w:rPr>
      </w:pPr>
    </w:p>
    <w:p>
      <w:pPr>
        <w:ind w:left="1292"/>
        <w:spacing w:after="0" w:line="282" w:lineRule="auto"/>
        <w:rPr>
          <w:sz w:val="20"/>
          <w:szCs w:val="20"/>
          <w:color w:val="auto"/>
        </w:rPr>
      </w:pPr>
      <w:r>
        <w:rPr>
          <w:rFonts w:ascii="Times New Roman" w:cs="Times New Roman" w:eastAsia="Times New Roman" w:hAnsi="Times New Roman"/>
          <w:sz w:val="18"/>
          <w:szCs w:val="18"/>
          <w:color w:val="auto"/>
        </w:rPr>
        <w:t>The amount shall be calculated in accordance with the provisions of Article 17, Paragraph 1 of the Company Accounting Regulations, minus the amount of capital increase from the maximum amount of increase in capital, etc.</w:t>
      </w:r>
    </w:p>
    <w:p>
      <w:pPr>
        <w:spacing w:after="0" w:line="162" w:lineRule="exact"/>
        <w:rPr>
          <w:sz w:val="20"/>
          <w:szCs w:val="20"/>
          <w:color w:val="auto"/>
        </w:rPr>
      </w:pPr>
    </w:p>
    <w:p>
      <w:pPr>
        <w:ind w:left="972" w:hanging="324"/>
        <w:spacing w:after="0"/>
        <w:tabs>
          <w:tab w:leader="none" w:pos="972" w:val="left"/>
        </w:tabs>
        <w:numPr>
          <w:ilvl w:val="1"/>
          <w:numId w:val="1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Allottee of Stock Acquisition Rights - Univest Securities, LLC</w:t>
      </w:r>
    </w:p>
    <w:p>
      <w:pPr>
        <w:spacing w:after="0" w:line="225" w:lineRule="exact"/>
        <w:rPr>
          <w:rFonts w:ascii="MS PGothic" w:cs="MS PGothic" w:eastAsia="MS PGothic" w:hAnsi="MS PGothic"/>
          <w:sz w:val="18"/>
          <w:szCs w:val="18"/>
          <w:color w:val="auto"/>
        </w:rPr>
      </w:pPr>
    </w:p>
    <w:p>
      <w:pPr>
        <w:ind w:left="652" w:hanging="328"/>
        <w:spacing w:after="0"/>
        <w:tabs>
          <w:tab w:leader="none" w:pos="65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2nd Series of Stock Acquisition Rights</w:t>
      </w:r>
    </w:p>
    <w:p>
      <w:pPr>
        <w:spacing w:after="0" w:line="184" w:lineRule="exact"/>
        <w:rPr>
          <w:rFonts w:ascii="Times New Roman" w:cs="Times New Roman" w:eastAsia="Times New Roman" w:hAnsi="Times New Roman"/>
          <w:sz w:val="18"/>
          <w:szCs w:val="18"/>
          <w:color w:val="auto"/>
        </w:rPr>
      </w:pPr>
    </w:p>
    <w:p>
      <w:pPr>
        <w:ind w:left="652"/>
        <w:spacing w:after="0" w:line="207"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①</w:t>
      </w:r>
      <w:r>
        <w:rPr>
          <w:rFonts w:ascii="Times New Roman" w:cs="Times New Roman" w:eastAsia="Times New Roman" w:hAnsi="Times New Roman"/>
          <w:sz w:val="18"/>
          <w:szCs w:val="18"/>
          <w:color w:val="auto"/>
        </w:rPr>
        <w:t xml:space="preserve"> Total number of stock acquisition rights: 5,862,552</w:t>
      </w:r>
    </w:p>
    <w:p>
      <w:pPr>
        <w:spacing w:after="0" w:line="225" w:lineRule="exact"/>
        <w:rPr>
          <w:rFonts w:ascii="Times New Roman" w:cs="Times New Roman" w:eastAsia="Times New Roman" w:hAnsi="Times New Roman"/>
          <w:sz w:val="18"/>
          <w:szCs w:val="18"/>
          <w:color w:val="auto"/>
        </w:rPr>
      </w:pPr>
    </w:p>
    <w:p>
      <w:pPr>
        <w:ind w:left="652"/>
        <w:spacing w:after="0" w:line="207"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②</w:t>
      </w:r>
      <w:r>
        <w:rPr>
          <w:rFonts w:ascii="Times New Roman" w:cs="Times New Roman" w:eastAsia="Times New Roman" w:hAnsi="Times New Roman"/>
          <w:sz w:val="18"/>
          <w:szCs w:val="18"/>
          <w:color w:val="auto"/>
        </w:rPr>
        <w:t xml:space="preserve"> Type and number of shares subject to stock acquisition rights</w:t>
      </w:r>
    </w:p>
    <w:p>
      <w:pPr>
        <w:spacing w:after="0" w:line="265" w:lineRule="exact"/>
        <w:rPr>
          <w:rFonts w:ascii="Times New Roman" w:cs="Times New Roman" w:eastAsia="Times New Roman" w:hAnsi="Times New Roman"/>
          <w:sz w:val="18"/>
          <w:szCs w:val="18"/>
          <w:color w:val="auto"/>
        </w:rPr>
      </w:pPr>
    </w:p>
    <w:p>
      <w:pPr>
        <w:ind w:left="97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5,862,552 shares of the Company’s common stock represented by U.S. depositary shares in the U.S.</w:t>
      </w:r>
    </w:p>
    <w:p>
      <w:pPr>
        <w:spacing w:after="0" w:line="184" w:lineRule="exact"/>
        <w:rPr>
          <w:rFonts w:ascii="Times New Roman" w:cs="Times New Roman" w:eastAsia="Times New Roman" w:hAnsi="Times New Roman"/>
          <w:sz w:val="18"/>
          <w:szCs w:val="18"/>
          <w:color w:val="auto"/>
        </w:rPr>
      </w:pPr>
    </w:p>
    <w:p>
      <w:pPr>
        <w:ind w:left="972" w:right="7340" w:hanging="324"/>
        <w:spacing w:after="0" w:line="353"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③</w:t>
      </w:r>
      <w:r>
        <w:rPr>
          <w:rFonts w:ascii="Times New Roman" w:cs="Times New Roman" w:eastAsia="Times New Roman" w:hAnsi="Times New Roman"/>
          <w:sz w:val="18"/>
          <w:szCs w:val="18"/>
          <w:color w:val="auto"/>
        </w:rPr>
        <w:t xml:space="preserve"> Amount paid for stock acquisition rights No payment required</w:t>
      </w:r>
    </w:p>
    <w:p>
      <w:pPr>
        <w:spacing w:after="0" w:line="158" w:lineRule="exact"/>
        <w:rPr>
          <w:rFonts w:ascii="Times New Roman" w:cs="Times New Roman" w:eastAsia="Times New Roman" w:hAnsi="Times New Roman"/>
          <w:sz w:val="18"/>
          <w:szCs w:val="18"/>
          <w:color w:val="auto"/>
        </w:rPr>
      </w:pPr>
    </w:p>
    <w:p>
      <w:pPr>
        <w:ind w:left="972" w:right="5560" w:hanging="324"/>
        <w:spacing w:after="0" w:line="353"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④</w:t>
      </w:r>
      <w:r>
        <w:rPr>
          <w:rFonts w:ascii="Times New Roman" w:cs="Times New Roman" w:eastAsia="Times New Roman" w:hAnsi="Times New Roman"/>
          <w:sz w:val="18"/>
          <w:szCs w:val="18"/>
          <w:color w:val="auto"/>
        </w:rPr>
        <w:t xml:space="preserve"> Value of assets invested in the exercise of stock acquisition rights US$0.27391 per common stock</w:t>
      </w:r>
    </w:p>
    <w:p>
      <w:pPr>
        <w:spacing w:after="0" w:line="158" w:lineRule="exact"/>
        <w:rPr>
          <w:rFonts w:ascii="Times New Roman" w:cs="Times New Roman" w:eastAsia="Times New Roman" w:hAnsi="Times New Roman"/>
          <w:sz w:val="18"/>
          <w:szCs w:val="18"/>
          <w:color w:val="auto"/>
        </w:rPr>
      </w:pPr>
    </w:p>
    <w:p>
      <w:pPr>
        <w:ind w:left="972" w:right="7040" w:hanging="324"/>
        <w:spacing w:after="0" w:line="353"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⑤</w:t>
      </w:r>
      <w:r>
        <w:rPr>
          <w:rFonts w:ascii="Times New Roman" w:cs="Times New Roman" w:eastAsia="Times New Roman" w:hAnsi="Times New Roman"/>
          <w:sz w:val="18"/>
          <w:szCs w:val="18"/>
          <w:color w:val="auto"/>
        </w:rPr>
        <w:t xml:space="preserve"> Period for exercising stock acquisition rights From January 30, 2024, to July 30, 2029</w:t>
      </w:r>
    </w:p>
    <w:p>
      <w:pPr>
        <w:spacing w:after="0" w:line="200" w:lineRule="exact"/>
        <w:rPr>
          <w:rFonts w:ascii="Times New Roman" w:cs="Times New Roman" w:eastAsia="Times New Roman" w:hAnsi="Times New Roman"/>
          <w:sz w:val="18"/>
          <w:szCs w:val="18"/>
          <w:color w:val="auto"/>
        </w:rPr>
      </w:pPr>
    </w:p>
    <w:p>
      <w:pPr>
        <w:spacing w:after="0" w:line="215" w:lineRule="exact"/>
        <w:rPr>
          <w:rFonts w:ascii="Times New Roman" w:cs="Times New Roman" w:eastAsia="Times New Roman" w:hAnsi="Times New Roman"/>
          <w:sz w:val="18"/>
          <w:szCs w:val="18"/>
          <w:color w:val="auto"/>
        </w:rPr>
      </w:pPr>
    </w:p>
    <w:p>
      <w:pPr>
        <w:ind w:left="5532" w:hanging="111"/>
        <w:spacing w:after="0"/>
        <w:tabs>
          <w:tab w:leader="none" w:pos="5532"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14" w:name="page15"/>
    <w:bookmarkEnd w:id="14"/>
    <w:p>
      <w:pPr>
        <w:ind w:left="980" w:hanging="324"/>
        <w:spacing w:after="0"/>
        <w:tabs>
          <w:tab w:leader="none" w:pos="980" w:val="left"/>
        </w:tabs>
        <w:numPr>
          <w:ilvl w:val="0"/>
          <w:numId w:val="19"/>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Increased capital and capital reserves in the case of issuance of shares through the exercise of stock acquisition rights</w:t>
      </w:r>
    </w:p>
    <w:p>
      <w:pPr>
        <w:spacing w:after="0" w:line="225" w:lineRule="exact"/>
        <w:rPr>
          <w:sz w:val="20"/>
          <w:szCs w:val="20"/>
          <w:color w:val="auto"/>
        </w:rPr>
      </w:pPr>
    </w:p>
    <w:p>
      <w:pPr>
        <w:ind w:left="1300" w:hanging="320"/>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of capital increased by the exercise of stock acquisition rights</w:t>
      </w:r>
    </w:p>
    <w:p>
      <w:pPr>
        <w:spacing w:after="0" w:line="225" w:lineRule="exact"/>
        <w:rPr>
          <w:sz w:val="20"/>
          <w:szCs w:val="20"/>
          <w:color w:val="auto"/>
        </w:rPr>
      </w:pPr>
    </w:p>
    <w:p>
      <w:pPr>
        <w:jc w:val="both"/>
        <w:ind w:left="960"/>
        <w:spacing w:after="0" w:line="266" w:lineRule="auto"/>
        <w:rPr>
          <w:sz w:val="20"/>
          <w:szCs w:val="20"/>
          <w:color w:val="auto"/>
        </w:rPr>
      </w:pPr>
      <w:r>
        <w:rPr>
          <w:rFonts w:ascii="Times New Roman" w:cs="Times New Roman" w:eastAsia="Times New Roman" w:hAnsi="Times New Roman"/>
          <w:sz w:val="18"/>
          <w:szCs w:val="18"/>
          <w:color w:val="auto"/>
        </w:rPr>
        <w:t>The amount shall be one-half of the maximum amount of increase in capital, etc., calculated in accordance with the provisions of Article 17, Paragraph 1 of the Company Accounting Regulations, and if a fraction of less than 1 yen is obtained because of the calculation, the amount shall be rounded up.</w:t>
      </w:r>
    </w:p>
    <w:p>
      <w:pPr>
        <w:spacing w:after="0" w:line="176" w:lineRule="exact"/>
        <w:rPr>
          <w:sz w:val="20"/>
          <w:szCs w:val="20"/>
          <w:color w:val="auto"/>
        </w:rPr>
      </w:pPr>
    </w:p>
    <w:p>
      <w:pPr>
        <w:ind w:left="1300" w:hanging="320"/>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of capital reserves to increase due to the exercise of stock acquisition rights</w:t>
      </w:r>
    </w:p>
    <w:p>
      <w:pPr>
        <w:spacing w:after="0" w:line="225" w:lineRule="exact"/>
        <w:rPr>
          <w:sz w:val="20"/>
          <w:szCs w:val="20"/>
          <w:color w:val="auto"/>
        </w:rPr>
      </w:pPr>
    </w:p>
    <w:p>
      <w:pPr>
        <w:ind w:left="960" w:right="20"/>
        <w:spacing w:after="0" w:line="282" w:lineRule="auto"/>
        <w:rPr>
          <w:sz w:val="20"/>
          <w:szCs w:val="20"/>
          <w:color w:val="auto"/>
        </w:rPr>
      </w:pPr>
      <w:r>
        <w:rPr>
          <w:rFonts w:ascii="Times New Roman" w:cs="Times New Roman" w:eastAsia="Times New Roman" w:hAnsi="Times New Roman"/>
          <w:sz w:val="18"/>
          <w:szCs w:val="18"/>
          <w:color w:val="auto"/>
        </w:rPr>
        <w:t>The amount shall be calculated in accordance with the provisions of Article 17, Paragraph 1 of the Company Accounting Regulations, minus the amount of capital increase from the maximum amount of increase in capital, etc.</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303"/>
        </w:trPr>
        <w:tc>
          <w:tcPr>
            <w:tcW w:w="10020" w:type="dxa"/>
            <w:vAlign w:val="bottom"/>
            <w:gridSpan w:val="2"/>
          </w:tcPr>
          <w:p>
            <w:pPr>
              <w:ind w:left="660"/>
              <w:spacing w:after="0" w:line="207" w:lineRule="exact"/>
              <w:rPr>
                <w:sz w:val="20"/>
                <w:szCs w:val="20"/>
                <w:color w:val="auto"/>
              </w:rPr>
            </w:pPr>
            <w:r>
              <w:rPr>
                <w:rFonts w:ascii="MS PGothic" w:cs="MS PGothic" w:eastAsia="MS PGothic" w:hAnsi="MS PGothic"/>
                <w:sz w:val="18"/>
                <w:szCs w:val="18"/>
                <w:color w:val="auto"/>
              </w:rPr>
              <w:t>⑦</w:t>
            </w:r>
            <w:r>
              <w:rPr>
                <w:rFonts w:ascii="Times New Roman" w:cs="Times New Roman" w:eastAsia="Times New Roman" w:hAnsi="Times New Roman"/>
                <w:sz w:val="18"/>
                <w:szCs w:val="18"/>
                <w:color w:val="auto"/>
              </w:rPr>
              <w:t xml:space="preserve"> Assignee of Stock Acquisition Rights</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86"/>
        </w:trPr>
        <w:tc>
          <w:tcPr>
            <w:tcW w:w="9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Number of</w:t>
            </w:r>
          </w:p>
        </w:tc>
      </w:tr>
      <w:tr>
        <w:trPr>
          <w:trHeight w:val="241"/>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Assignee</w:t>
            </w: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allocations</w:t>
            </w:r>
          </w:p>
        </w:tc>
      </w:tr>
      <w:tr>
        <w:trPr>
          <w:trHeight w:val="216"/>
        </w:trPr>
        <w:tc>
          <w:tcPr>
            <w:tcW w:w="9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LIND GLOBAL FUND II LP</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746,269</w:t>
            </w:r>
          </w:p>
        </w:tc>
        <w:tc>
          <w:tcPr>
            <w:tcW w:w="100" w:type="dxa"/>
            <w:vAlign w:val="bottom"/>
            <w:tcBorders>
              <w:top w:val="single" w:sz="8" w:color="CCEEFF"/>
            </w:tcBorders>
            <w:shd w:val="clear" w:color="auto" w:fill="CCEEFF"/>
          </w:tcPr>
          <w:p>
            <w:pPr>
              <w:spacing w:after="0"/>
              <w:rPr>
                <w:sz w:val="18"/>
                <w:szCs w:val="18"/>
                <w:color w:val="auto"/>
              </w:rPr>
            </w:pPr>
          </w:p>
        </w:tc>
      </w:tr>
      <w:tr>
        <w:trPr>
          <w:trHeight w:val="243"/>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S.H.N. FINANCIAL INVESTMENTS  LTD</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638,669</w:t>
            </w: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L1 CAPITAL GLOBAL OPPORTUNITIES MASTER FUND</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746,269</w:t>
            </w: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ALTO OPPORTUNITY MASTER FUND,</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746,269</w:t>
            </w: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INTRACOASTAL CAPITAL LLC</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746,269</w:t>
            </w: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CVI Investments, By: Heights Capital Management, Inc.,</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746,269</w:t>
            </w: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Hudson Bay Master Fund Ltd.</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746,269</w:t>
            </w: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Empery Asset Master, LTD</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414,861</w:t>
            </w: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Empery Tax Efficient, LP</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147,466</w:t>
            </w:r>
          </w:p>
        </w:tc>
      </w:tr>
      <w:tr>
        <w:trPr>
          <w:trHeight w:val="234"/>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Empery Tax Efficient III, LP</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183,942</w:t>
            </w:r>
          </w:p>
        </w:tc>
      </w:tr>
    </w:tbl>
    <w:p>
      <w:pPr>
        <w:spacing w:after="0" w:line="179" w:lineRule="exact"/>
        <w:rPr>
          <w:sz w:val="20"/>
          <w:szCs w:val="20"/>
          <w:color w:val="auto"/>
        </w:rPr>
      </w:pPr>
    </w:p>
    <w:p>
      <w:pPr>
        <w:ind w:left="340" w:hanging="332"/>
        <w:spacing w:after="0"/>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Matters Concerning Company Officers (as of March 31, 2026)</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Status of Directors and Corporate Auditors</w:t>
      </w:r>
    </w:p>
    <w:p>
      <w:pPr>
        <w:sectPr>
          <w:pgSz w:w="11900" w:h="16838" w:orient="portrait"/>
          <w:cols w:equalWidth="0" w:num="1">
            <w:col w:w="11240"/>
          </w:cols>
          <w:pgMar w:left="320" w:top="904" w:right="339" w:bottom="1440" w:gutter="0" w:footer="0" w:header="0"/>
        </w:sect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Position</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Name</w:t>
            </w:r>
          </w:p>
        </w:tc>
      </w:tr>
      <w:tr>
        <w:trPr>
          <w:trHeight w:val="198"/>
        </w:trPr>
        <w:tc>
          <w:tcPr>
            <w:tcW w:w="192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President and</w:t>
            </w:r>
          </w:p>
        </w:tc>
        <w:tc>
          <w:tcPr>
            <w:tcW w:w="120" w:type="dxa"/>
            <w:vAlign w:val="bottom"/>
          </w:tcPr>
          <w:p>
            <w:pPr>
              <w:spacing w:after="0"/>
              <w:rPr>
                <w:sz w:val="17"/>
                <w:szCs w:val="17"/>
                <w:color w:val="auto"/>
              </w:rPr>
            </w:pPr>
          </w:p>
        </w:tc>
        <w:tc>
          <w:tcPr>
            <w:tcW w:w="19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Mei Kanayama</w:t>
            </w:r>
          </w:p>
        </w:tc>
      </w:tr>
      <w:tr>
        <w:trPr>
          <w:trHeight w:val="216"/>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Representative Director</w:t>
            </w:r>
          </w:p>
        </w:tc>
        <w:tc>
          <w:tcPr>
            <w:tcW w:w="1900" w:type="dxa"/>
            <w:vAlign w:val="bottom"/>
          </w:tcPr>
          <w:p>
            <w:pPr>
              <w:spacing w:after="0"/>
              <w:rPr>
                <w:sz w:val="18"/>
                <w:szCs w:val="18"/>
                <w:color w:val="auto"/>
              </w:rPr>
            </w:pPr>
          </w:p>
        </w:tc>
      </w:tr>
      <w:tr>
        <w:trPr>
          <w:trHeight w:val="234"/>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Yoichiro Haga</w:t>
            </w:r>
          </w:p>
        </w:tc>
      </w:tr>
      <w:tr>
        <w:trPr>
          <w:trHeight w:val="324"/>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Tetsuya Sato</w:t>
            </w:r>
          </w:p>
        </w:tc>
      </w:tr>
      <w:tr>
        <w:trPr>
          <w:trHeight w:val="306"/>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Yoji Takenaka</w:t>
            </w:r>
          </w:p>
        </w:tc>
      </w:tr>
      <w:tr>
        <w:trPr>
          <w:trHeight w:val="234"/>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Corporate Auditor</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Keiichi Kimura</w:t>
            </w:r>
          </w:p>
        </w:tc>
      </w:tr>
    </w:tbl>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right="2860"/>
        <w:spacing w:after="0" w:line="329" w:lineRule="auto"/>
        <w:rPr>
          <w:sz w:val="20"/>
          <w:szCs w:val="20"/>
          <w:color w:val="auto"/>
        </w:rPr>
      </w:pPr>
      <w:r>
        <w:rPr>
          <w:rFonts w:ascii="Times New Roman" w:cs="Times New Roman" w:eastAsia="Times New Roman" w:hAnsi="Times New Roman"/>
          <w:sz w:val="18"/>
          <w:szCs w:val="18"/>
          <w:color w:val="auto"/>
        </w:rPr>
        <w:t>Status of responsibilities and important concurrent positions President &amp;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-2572385</wp:posOffset>
            </wp:positionH>
            <wp:positionV relativeFrom="paragraph">
              <wp:posOffset>-202565</wp:posOffset>
            </wp:positionV>
            <wp:extent cx="7132320" cy="2914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Officer, Administrative Departments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-2572385</wp:posOffset>
            </wp:positionH>
            <wp:positionV relativeFrom="paragraph">
              <wp:posOffset>17145</wp:posOffset>
            </wp:positionV>
            <wp:extent cx="7132320" cy="2743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Japan International Medical Association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Representative Director, CBJ,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Lawyer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-2572385</wp:posOffset>
            </wp:positionH>
            <wp:positionV relativeFrom="paragraph">
              <wp:posOffset>5715</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Administrative scrivener</w:t>
      </w:r>
    </w:p>
    <w:p>
      <w:pPr>
        <w:spacing w:after="0" w:line="207" w:lineRule="exact"/>
        <w:rPr>
          <w:sz w:val="20"/>
          <w:szCs w:val="20"/>
          <w:color w:val="auto"/>
        </w:rPr>
      </w:pPr>
    </w:p>
    <w:p>
      <w:pPr>
        <w:sectPr>
          <w:pgSz w:w="11900" w:h="16838" w:orient="portrait"/>
          <w:cols w:equalWidth="0" w:num="2">
            <w:col w:w="3940" w:space="120"/>
            <w:col w:w="7180"/>
          </w:cols>
          <w:pgMar w:left="320" w:top="904" w:right="339" w:bottom="1440" w:gutter="0" w:footer="0" w:header="0"/>
          <w:type w:val="continuous"/>
        </w:sectPr>
      </w:pPr>
    </w:p>
    <w:p>
      <w:pPr>
        <w:spacing w:after="0"/>
        <w:tabs>
          <w:tab w:leader="none" w:pos="640" w:val="left"/>
          <w:tab w:leader="none" w:pos="960" w:val="left"/>
        </w:tabs>
        <w:rPr>
          <w:sz w:val="20"/>
          <w:szCs w:val="20"/>
          <w:color w:val="auto"/>
        </w:rPr>
      </w:pPr>
      <w:r>
        <w:rPr>
          <w:rFonts w:ascii="Times New Roman" w:cs="Times New Roman" w:eastAsia="Times New Roman" w:hAnsi="Times New Roman"/>
          <w:sz w:val="18"/>
          <w:szCs w:val="18"/>
          <w:color w:val="auto"/>
        </w:rPr>
        <w:t>Note:</w:t>
        <w:tab/>
        <w:t>1.</w:t>
      </w:r>
      <w:r>
        <w:rPr>
          <w:sz w:val="20"/>
          <w:szCs w:val="20"/>
          <w:color w:val="auto"/>
        </w:rPr>
        <w:tab/>
      </w:r>
      <w:r>
        <w:rPr>
          <w:rFonts w:ascii="Times New Roman" w:cs="Times New Roman" w:eastAsia="Times New Roman" w:hAnsi="Times New Roman"/>
          <w:sz w:val="17"/>
          <w:szCs w:val="17"/>
          <w:color w:val="auto"/>
        </w:rPr>
        <w:t>Directors Tetsuya Sato and Yoji Takenaka are outside directors as defined in Article 2, Item 15 of the Companies Act.</w:t>
      </w:r>
    </w:p>
    <w:p>
      <w:pPr>
        <w:spacing w:after="0" w:line="225" w:lineRule="exact"/>
        <w:rPr>
          <w:sz w:val="20"/>
          <w:szCs w:val="20"/>
          <w:color w:val="auto"/>
        </w:rPr>
      </w:pPr>
    </w:p>
    <w:p>
      <w:pPr>
        <w:ind w:left="980" w:hanging="324"/>
        <w:spacing w:after="0" w:line="282"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Tadao Iwamatsu and Junji Sato resigned from their positions as auditors effective as of the Annual General Meeting of Shareholders held on June 27, 2025.</w:t>
      </w:r>
    </w:p>
    <w:p>
      <w:pPr>
        <w:spacing w:after="0" w:line="377" w:lineRule="exact"/>
        <w:rPr>
          <w:rFonts w:ascii="Times New Roman" w:cs="Times New Roman" w:eastAsia="Times New Roman" w:hAnsi="Times New Roman"/>
          <w:sz w:val="18"/>
          <w:szCs w:val="18"/>
          <w:color w:val="auto"/>
        </w:rPr>
      </w:pPr>
    </w:p>
    <w:p>
      <w:pPr>
        <w:ind w:left="5540" w:hanging="108"/>
        <w:spacing w:after="0"/>
        <w:tabs>
          <w:tab w:leader="none" w:pos="55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15" w:name="page16"/>
    <w:bookmarkEnd w:id="15"/>
    <w:tbl>
      <w:tblPr>
        <w:tblLayout w:type="fixed"/>
        <w:tblInd w:w="0" w:type="dxa"/>
        <w:tblCellMar>
          <w:top w:w="0" w:type="dxa"/>
          <w:left w:w="0" w:type="dxa"/>
          <w:bottom w:w="0" w:type="dxa"/>
          <w:right w:w="0" w:type="dxa"/>
        </w:tblCellMar>
      </w:tblPr>
      <w:tr>
        <w:trPr>
          <w:trHeight w:val="234"/>
        </w:trPr>
        <w:tc>
          <w:tcPr>
            <w:tcW w:w="598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(2) Total amount of remuneration, etc. of officers for the current fiscal year</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4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w w:val="97"/>
              </w:rPr>
              <w:t>(Unit: 1,000 yen)</w:t>
            </w: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80" w:type="dxa"/>
            <w:vAlign w:val="bottom"/>
            <w:gridSpan w:val="8"/>
          </w:tcPr>
          <w:p>
            <w:pPr>
              <w:jc w:val="center"/>
              <w:ind w:right="100"/>
              <w:spacing w:after="0"/>
              <w:rPr>
                <w:sz w:val="20"/>
                <w:szCs w:val="20"/>
                <w:color w:val="auto"/>
              </w:rPr>
            </w:pPr>
            <w:r>
              <w:rPr>
                <w:rFonts w:ascii="Times New Roman" w:cs="Times New Roman" w:eastAsia="Times New Roman" w:hAnsi="Times New Roman"/>
                <w:sz w:val="18"/>
                <w:szCs w:val="18"/>
                <w:color w:val="auto"/>
                <w:w w:val="99"/>
              </w:rPr>
              <w:t>Total amount by type of</w:t>
            </w:r>
          </w:p>
        </w:tc>
      </w:tr>
      <w:tr>
        <w:trPr>
          <w:trHeight w:val="241"/>
        </w:trPr>
        <w:tc>
          <w:tcPr>
            <w:tcW w:w="4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remuneration, etc.</w:t>
            </w:r>
          </w:p>
        </w:tc>
        <w:tc>
          <w:tcPr>
            <w:tcW w:w="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4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w w:val="99"/>
              </w:rPr>
              <w:t>Total amount</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140"/>
              <w:spacing w:after="0" w:line="198" w:lineRule="exact"/>
              <w:rPr>
                <w:sz w:val="20"/>
                <w:szCs w:val="20"/>
                <w:color w:val="auto"/>
              </w:rPr>
            </w:pPr>
            <w:r>
              <w:rPr>
                <w:rFonts w:ascii="Times New Roman" w:cs="Times New Roman" w:eastAsia="Times New Roman" w:hAnsi="Times New Roman"/>
                <w:sz w:val="18"/>
                <w:szCs w:val="18"/>
                <w:color w:val="auto"/>
                <w:w w:val="99"/>
              </w:rPr>
              <w:t>Performance-</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of</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linked</w:t>
            </w:r>
          </w:p>
        </w:tc>
        <w:tc>
          <w:tcPr>
            <w:tcW w:w="8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Non- monetary</w:t>
            </w: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Number of</w:t>
            </w: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remuneration,</w:t>
            </w: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Monetary</w:t>
            </w:r>
          </w:p>
        </w:tc>
        <w:tc>
          <w:tcPr>
            <w:tcW w:w="1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remuneration,</w:t>
            </w:r>
          </w:p>
        </w:tc>
        <w:tc>
          <w:tcPr>
            <w:tcW w:w="8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remuneration,</w:t>
            </w:r>
          </w:p>
        </w:tc>
      </w:tr>
      <w:tr>
        <w:trPr>
          <w:trHeight w:val="241"/>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District</w:t>
            </w:r>
          </w:p>
        </w:tc>
        <w:tc>
          <w:tcPr>
            <w:tcW w:w="120" w:type="dxa"/>
            <w:vAlign w:val="bottom"/>
          </w:tcPr>
          <w:p>
            <w:pPr>
              <w:spacing w:after="0"/>
              <w:rPr>
                <w:sz w:val="20"/>
                <w:szCs w:val="20"/>
                <w:color w:val="auto"/>
              </w:rPr>
            </w:pP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members</w:t>
            </w: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etc.</w:t>
            </w: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Rewards</w:t>
            </w:r>
          </w:p>
        </w:tc>
        <w:tc>
          <w:tcPr>
            <w:tcW w:w="120" w:type="dxa"/>
            <w:vAlign w:val="bottom"/>
          </w:tcPr>
          <w:p>
            <w:pPr>
              <w:spacing w:after="0"/>
              <w:rPr>
                <w:sz w:val="20"/>
                <w:szCs w:val="20"/>
                <w:color w:val="auto"/>
              </w:rPr>
            </w:pP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etc.</w:t>
            </w:r>
          </w:p>
        </w:tc>
        <w:tc>
          <w:tcPr>
            <w:tcW w:w="80" w:type="dxa"/>
            <w:vAlign w:val="bottom"/>
          </w:tcPr>
          <w:p>
            <w:pPr>
              <w:spacing w:after="0"/>
              <w:rPr>
                <w:sz w:val="20"/>
                <w:szCs w:val="20"/>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3"/>
              </w:rPr>
              <w:t>etc.</w:t>
            </w:r>
          </w:p>
        </w:tc>
      </w:tr>
      <w:tr>
        <w:trPr>
          <w:trHeight w:val="216"/>
        </w:trPr>
        <w:tc>
          <w:tcPr>
            <w:tcW w:w="4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 persons</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55,200</w:t>
            </w:r>
          </w:p>
        </w:tc>
        <w:tc>
          <w:tcPr>
            <w:tcW w:w="2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55,200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center"/>
              <w:ind w:left="83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center"/>
              <w:ind w:left="85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(Outside Directors)</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(2 persons)</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(7,200)</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(7,200)</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center"/>
              <w:ind w:left="69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center"/>
              <w:ind w:left="750"/>
              <w:spacing w:after="0"/>
              <w:rPr>
                <w:sz w:val="20"/>
                <w:szCs w:val="20"/>
                <w:color w:val="auto"/>
              </w:rPr>
            </w:pPr>
            <w:r>
              <w:rPr>
                <w:rFonts w:ascii="Times New Roman" w:cs="Times New Roman" w:eastAsia="Times New Roman" w:hAnsi="Times New Roman"/>
                <w:sz w:val="18"/>
                <w:szCs w:val="18"/>
                <w:color w:val="auto"/>
                <w:w w:val="99"/>
              </w:rPr>
              <w:t>(—)</w:t>
            </w:r>
          </w:p>
        </w:tc>
      </w:tr>
      <w:tr>
        <w:trPr>
          <w:trHeight w:val="198"/>
        </w:trPr>
        <w:tc>
          <w:tcPr>
            <w:tcW w:w="45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Corporate Auditor</w:t>
            </w:r>
          </w:p>
        </w:tc>
        <w:tc>
          <w:tcPr>
            <w:tcW w:w="120" w:type="dxa"/>
            <w:vAlign w:val="bottom"/>
          </w:tcPr>
          <w:p>
            <w:pPr>
              <w:spacing w:after="0"/>
              <w:rPr>
                <w:sz w:val="17"/>
                <w:szCs w:val="17"/>
                <w:color w:val="auto"/>
              </w:rPr>
            </w:pPr>
          </w:p>
        </w:tc>
        <w:tc>
          <w:tcPr>
            <w:tcW w:w="1360" w:type="dxa"/>
            <w:vAlign w:val="bottom"/>
            <w:gridSpan w:val="2"/>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9"/>
              </w:rPr>
              <w:t>3 persons</w:t>
            </w:r>
          </w:p>
        </w:tc>
        <w:tc>
          <w:tcPr>
            <w:tcW w:w="1380" w:type="dxa"/>
            <w:vAlign w:val="bottom"/>
            <w:gridSpan w:val="2"/>
          </w:tcPr>
          <w:p>
            <w:pPr>
              <w:jc w:val="right"/>
              <w:ind w:right="240"/>
              <w:spacing w:after="0" w:line="198" w:lineRule="exact"/>
              <w:rPr>
                <w:sz w:val="20"/>
                <w:szCs w:val="20"/>
                <w:color w:val="auto"/>
              </w:rPr>
            </w:pPr>
            <w:r>
              <w:rPr>
                <w:rFonts w:ascii="Times New Roman" w:cs="Times New Roman" w:eastAsia="Times New Roman" w:hAnsi="Times New Roman"/>
                <w:sz w:val="18"/>
                <w:szCs w:val="18"/>
                <w:color w:val="auto"/>
              </w:rPr>
              <w:t>4,150</w:t>
            </w:r>
          </w:p>
        </w:tc>
        <w:tc>
          <w:tcPr>
            <w:tcW w:w="1220" w:type="dxa"/>
            <w:vAlign w:val="bottom"/>
            <w:gridSpan w:val="2"/>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4,150</w:t>
            </w:r>
          </w:p>
        </w:tc>
        <w:tc>
          <w:tcPr>
            <w:tcW w:w="120" w:type="dxa"/>
            <w:vAlign w:val="bottom"/>
          </w:tcPr>
          <w:p>
            <w:pPr>
              <w:spacing w:after="0"/>
              <w:rPr>
                <w:sz w:val="17"/>
                <w:szCs w:val="17"/>
                <w:color w:val="auto"/>
              </w:rPr>
            </w:pPr>
          </w:p>
        </w:tc>
        <w:tc>
          <w:tcPr>
            <w:tcW w:w="1240" w:type="dxa"/>
            <w:vAlign w:val="bottom"/>
            <w:gridSpan w:val="2"/>
          </w:tcPr>
          <w:p>
            <w:pPr>
              <w:jc w:val="center"/>
              <w:ind w:left="690"/>
              <w:spacing w:after="0" w:line="198" w:lineRule="exact"/>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7"/>
                <w:szCs w:val="17"/>
                <w:color w:val="auto"/>
              </w:rPr>
            </w:pPr>
          </w:p>
        </w:tc>
        <w:tc>
          <w:tcPr>
            <w:tcW w:w="1220" w:type="dxa"/>
            <w:vAlign w:val="bottom"/>
            <w:gridSpan w:val="2"/>
          </w:tcPr>
          <w:p>
            <w:pPr>
              <w:jc w:val="center"/>
              <w:ind w:left="750"/>
              <w:spacing w:after="0" w:line="198" w:lineRule="exact"/>
              <w:rPr>
                <w:sz w:val="20"/>
                <w:szCs w:val="20"/>
                <w:color w:val="auto"/>
              </w:rPr>
            </w:pPr>
            <w:r>
              <w:rPr>
                <w:rFonts w:ascii="Times New Roman" w:cs="Times New Roman" w:eastAsia="Times New Roman" w:hAnsi="Times New Roman"/>
                <w:sz w:val="18"/>
                <w:szCs w:val="18"/>
                <w:color w:val="auto"/>
                <w:w w:val="99"/>
              </w:rPr>
              <w:t>—</w:t>
            </w:r>
          </w:p>
        </w:tc>
      </w:tr>
      <w:tr>
        <w:trPr>
          <w:trHeight w:val="234"/>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(Outside Corporate Auditors)</w:t>
            </w:r>
          </w:p>
        </w:tc>
        <w:tc>
          <w:tcPr>
            <w:tcW w:w="120" w:type="dxa"/>
            <w:vAlign w:val="bottom"/>
          </w:tcPr>
          <w:p>
            <w:pPr>
              <w:spacing w:after="0"/>
              <w:rPr>
                <w:sz w:val="20"/>
                <w:szCs w:val="20"/>
                <w:color w:val="auto"/>
              </w:rPr>
            </w:pP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(2 persons)</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(900)</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(900)</w:t>
            </w:r>
          </w:p>
        </w:tc>
        <w:tc>
          <w:tcPr>
            <w:tcW w:w="120" w:type="dxa"/>
            <w:vAlign w:val="bottom"/>
          </w:tcPr>
          <w:p>
            <w:pPr>
              <w:spacing w:after="0"/>
              <w:rPr>
                <w:sz w:val="20"/>
                <w:szCs w:val="20"/>
                <w:color w:val="auto"/>
              </w:rPr>
            </w:pPr>
          </w:p>
        </w:tc>
        <w:tc>
          <w:tcPr>
            <w:tcW w:w="1240" w:type="dxa"/>
            <w:vAlign w:val="bottom"/>
            <w:gridSpan w:val="2"/>
          </w:tcPr>
          <w:p>
            <w:pPr>
              <w:jc w:val="center"/>
              <w:ind w:left="69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20"/>
                <w:szCs w:val="20"/>
                <w:color w:val="auto"/>
              </w:rPr>
            </w:pPr>
          </w:p>
        </w:tc>
        <w:tc>
          <w:tcPr>
            <w:tcW w:w="1220" w:type="dxa"/>
            <w:vAlign w:val="bottom"/>
            <w:gridSpan w:val="2"/>
          </w:tcPr>
          <w:p>
            <w:pPr>
              <w:jc w:val="center"/>
              <w:ind w:left="750"/>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7 persons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59,350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59,350</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center"/>
              <w:ind w:left="69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center"/>
              <w:ind w:left="750"/>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(Outside Officers)</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(4 persons)</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(8,100)</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(8,100)</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center"/>
              <w:ind w:left="69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center"/>
              <w:ind w:left="750"/>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198" w:lineRule="exact"/>
        <w:rPr>
          <w:sz w:val="20"/>
          <w:szCs w:val="20"/>
          <w:color w:val="auto"/>
        </w:rPr>
      </w:pPr>
    </w:p>
    <w:p>
      <w:pPr>
        <w:jc w:val="both"/>
        <w:ind w:left="660" w:right="20" w:hanging="971"/>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Note:</w:t>
        <w:tab/>
        <w:t>1. The maximum amount of remuneration for directors was resolved to be 150,000,000 yen per year at the Ordinary General Meeting of Shareholders held on May 26, 2021.</w:t>
      </w:r>
    </w:p>
    <w:p>
      <w:pPr>
        <w:spacing w:after="0" w:line="162" w:lineRule="exact"/>
        <w:rPr>
          <w:sz w:val="20"/>
          <w:szCs w:val="20"/>
          <w:color w:val="auto"/>
        </w:rPr>
      </w:pPr>
    </w:p>
    <w:p>
      <w:pPr>
        <w:ind w:left="980" w:hanging="324"/>
        <w:spacing w:after="0" w:line="282" w:lineRule="auto"/>
        <w:tabs>
          <w:tab w:leader="none" w:pos="980"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amount of remuneration for Board of Corporate Auditors was resolved to be 30,000,000 yen per year at the Extraordinary General Meeting of Shareholders held on October 19, 2021.</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 to ensure the appropriateness of business operations (as of March 31, 2026)</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 to ensure that the execution of duties by directors and employees complies with laws and regulations and the Articles of Incorporation</w:t>
      </w:r>
    </w:p>
    <w:p>
      <w:pPr>
        <w:spacing w:after="0" w:line="184" w:lineRule="exact"/>
        <w:rPr>
          <w:rFonts w:ascii="Times New Roman" w:cs="Times New Roman" w:eastAsia="Times New Roman" w:hAnsi="Times New Roman"/>
          <w:sz w:val="18"/>
          <w:szCs w:val="18"/>
          <w:color w:val="auto"/>
        </w:rPr>
      </w:pPr>
    </w:p>
    <w:p>
      <w:pPr>
        <w:ind w:left="980" w:hanging="324"/>
        <w:spacing w:after="0" w:line="245"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①</w:t>
      </w:r>
      <w:r>
        <w:rPr>
          <w:rFonts w:ascii="Times New Roman" w:cs="Times New Roman" w:eastAsia="Times New Roman" w:hAnsi="Times New Roman"/>
          <w:sz w:val="18"/>
          <w:szCs w:val="18"/>
          <w:color w:val="auto"/>
        </w:rPr>
        <w:t xml:space="preserve"> Directors of the Company and its subsidiaries shall comply with laws and regulations and Articles of Incorporation and promote the establishment of a compliance system.</w:t>
      </w:r>
    </w:p>
    <w:p>
      <w:pPr>
        <w:spacing w:after="0" w:line="158" w:lineRule="exact"/>
        <w:rPr>
          <w:rFonts w:ascii="Times New Roman" w:cs="Times New Roman" w:eastAsia="Times New Roman" w:hAnsi="Times New Roman"/>
          <w:sz w:val="18"/>
          <w:szCs w:val="18"/>
          <w:color w:val="auto"/>
        </w:rPr>
      </w:pPr>
    </w:p>
    <w:p>
      <w:pPr>
        <w:ind w:left="980" w:right="20" w:hanging="324"/>
        <w:spacing w:after="0" w:line="245"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②</w:t>
      </w:r>
      <w:r>
        <w:rPr>
          <w:rFonts w:ascii="Times New Roman" w:cs="Times New Roman" w:eastAsia="Times New Roman" w:hAnsi="Times New Roman"/>
          <w:sz w:val="18"/>
          <w:szCs w:val="18"/>
          <w:color w:val="auto"/>
        </w:rPr>
        <w:t xml:space="preserve"> Directors of the Company and its subsidiaries shall establish a compliance system to ensure that employees comply with laws and regulations and the Articles of Incorporation and shall manage and supervise the status of compliance.</w:t>
      </w:r>
    </w:p>
    <w:p>
      <w:pPr>
        <w:spacing w:after="0" w:line="158" w:lineRule="exact"/>
        <w:rPr>
          <w:rFonts w:ascii="Times New Roman" w:cs="Times New Roman" w:eastAsia="Times New Roman" w:hAnsi="Times New Roman"/>
          <w:sz w:val="18"/>
          <w:szCs w:val="18"/>
          <w:color w:val="auto"/>
        </w:rPr>
      </w:pPr>
    </w:p>
    <w:p>
      <w:pPr>
        <w:ind w:left="980" w:hanging="324"/>
        <w:spacing w:after="0" w:line="236"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③</w:t>
      </w:r>
      <w:r>
        <w:rPr>
          <w:rFonts w:ascii="Times New Roman" w:cs="Times New Roman" w:eastAsia="Times New Roman" w:hAnsi="Times New Roman"/>
          <w:sz w:val="18"/>
          <w:szCs w:val="18"/>
          <w:color w:val="auto"/>
        </w:rPr>
        <w:t xml:space="preserve"> Board of Corporate Auditors Members shall investigate the status of the compliance system and whether there are any problems with laws and regulations or the Articles of Incorporation, and report to the Board of Directors. The Board of Directors shall periodically review the compliance system and strive to identify problems and make improvements.</w:t>
      </w:r>
    </w:p>
    <w:p>
      <w:pPr>
        <w:spacing w:after="0" w:line="157" w:lineRule="exact"/>
        <w:rPr>
          <w:rFonts w:ascii="Times New Roman" w:cs="Times New Roman" w:eastAsia="Times New Roman" w:hAnsi="Times New Roman"/>
          <w:sz w:val="18"/>
          <w:szCs w:val="18"/>
          <w:color w:val="auto"/>
        </w:rPr>
      </w:pPr>
    </w:p>
    <w:p>
      <w:pPr>
        <w:ind w:left="980" w:right="20" w:hanging="324"/>
        <w:spacing w:after="0" w:line="245"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④</w:t>
      </w:r>
      <w:r>
        <w:rPr>
          <w:rFonts w:ascii="Times New Roman" w:cs="Times New Roman" w:eastAsia="Times New Roman" w:hAnsi="Times New Roman"/>
          <w:sz w:val="18"/>
          <w:szCs w:val="18"/>
          <w:color w:val="auto"/>
        </w:rPr>
        <w:t xml:space="preserve"> The Company shall establish rules for whistleblowing and establish a whistleblowing system to promptly report and consult with directors and employees of the Company and its subsidiaries if they discover an act that is suspected of violating laws and regulations.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 for the storage and management of information related to the execution of duties by directors</w:t>
      </w:r>
    </w:p>
    <w:p>
      <w:pPr>
        <w:spacing w:after="0" w:line="184" w:lineRule="exact"/>
        <w:rPr>
          <w:rFonts w:ascii="Times New Roman" w:cs="Times New Roman" w:eastAsia="Times New Roman" w:hAnsi="Times New Roman"/>
          <w:sz w:val="18"/>
          <w:szCs w:val="18"/>
          <w:color w:val="auto"/>
        </w:rPr>
      </w:pPr>
    </w:p>
    <w:p>
      <w:pPr>
        <w:ind w:left="980" w:hanging="324"/>
        <w:spacing w:after="0" w:line="236"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①</w:t>
      </w:r>
      <w:r>
        <w:rPr>
          <w:rFonts w:ascii="Times New Roman" w:cs="Times New Roman" w:eastAsia="Times New Roman" w:hAnsi="Times New Roman"/>
          <w:sz w:val="18"/>
          <w:szCs w:val="18"/>
          <w:color w:val="auto"/>
        </w:rPr>
        <w:t xml:space="preserve"> Information related to the execution of duties by directors shall be prepared and stored in accordance with laws and regulations and internal regulations, etc., by establishing document management regulations, etc. In addition, if necessary, the Company shall manage the information in a state where it can be viewed by Directors, Corporate Auditors, Accounting Auditors, etc.</w:t>
      </w:r>
    </w:p>
    <w:p>
      <w:pPr>
        <w:spacing w:after="0" w:line="157" w:lineRule="exact"/>
        <w:rPr>
          <w:rFonts w:ascii="Times New Roman" w:cs="Times New Roman" w:eastAsia="Times New Roman" w:hAnsi="Times New Roman"/>
          <w:sz w:val="18"/>
          <w:szCs w:val="18"/>
          <w:color w:val="auto"/>
        </w:rPr>
      </w:pPr>
    </w:p>
    <w:p>
      <w:pPr>
        <w:ind w:left="980" w:hanging="324"/>
        <w:spacing w:after="0" w:line="245"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②</w:t>
      </w:r>
      <w:r>
        <w:rPr>
          <w:rFonts w:ascii="Times New Roman" w:cs="Times New Roman" w:eastAsia="Times New Roman" w:hAnsi="Times New Roman"/>
          <w:sz w:val="18"/>
          <w:szCs w:val="18"/>
          <w:color w:val="auto"/>
        </w:rPr>
        <w:t xml:space="preserve"> The status of the creation, storage, and management of information related to the execution of duties by directors shall be audited by Corporate Auditors.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and other systems related to the management of the risk of loss</w:t>
      </w:r>
    </w:p>
    <w:p>
      <w:pPr>
        <w:spacing w:after="0" w:line="184" w:lineRule="exact"/>
        <w:rPr>
          <w:rFonts w:ascii="Times New Roman" w:cs="Times New Roman" w:eastAsia="Times New Roman" w:hAnsi="Times New Roman"/>
          <w:sz w:val="18"/>
          <w:szCs w:val="18"/>
          <w:color w:val="auto"/>
        </w:rPr>
      </w:pPr>
    </w:p>
    <w:p>
      <w:pPr>
        <w:ind w:left="980" w:hanging="324"/>
        <w:spacing w:after="0" w:line="23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①</w:t>
      </w:r>
      <w:r>
        <w:rPr>
          <w:rFonts w:ascii="Times New Roman" w:cs="Times New Roman" w:eastAsia="Times New Roman" w:hAnsi="Times New Roman"/>
          <w:sz w:val="18"/>
          <w:szCs w:val="18"/>
          <w:color w:val="auto"/>
        </w:rPr>
        <w:t xml:space="preserve"> The Company shall formulate the Basic Rules for Risk Management as the basis of the risk management system for the entire Group and establish a risk management system in accordance with the Regulations. In addition, in the event of an unforeseen situation, the Company shall establish a Crisis Management Committee chaired by the President and Representative Director and shall establish a system to prevent and minimize the spread of damage by responding promptly with the advice of legal advisors and others.</w:t>
      </w:r>
    </w:p>
    <w:p>
      <w:pPr>
        <w:spacing w:after="0" w:line="158" w:lineRule="exact"/>
        <w:rPr>
          <w:rFonts w:ascii="Times New Roman" w:cs="Times New Roman" w:eastAsia="Times New Roman" w:hAnsi="Times New Roman"/>
          <w:sz w:val="18"/>
          <w:szCs w:val="18"/>
          <w:color w:val="auto"/>
        </w:rPr>
      </w:pPr>
    </w:p>
    <w:p>
      <w:pPr>
        <w:ind w:left="980" w:hanging="324"/>
        <w:spacing w:after="0" w:line="245"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②</w:t>
      </w:r>
      <w:r>
        <w:rPr>
          <w:rFonts w:ascii="Times New Roman" w:cs="Times New Roman" w:eastAsia="Times New Roman" w:hAnsi="Times New Roman"/>
          <w:sz w:val="18"/>
          <w:szCs w:val="18"/>
          <w:color w:val="auto"/>
        </w:rPr>
        <w:t xml:space="preserve"> Directors and employees shall organize the content of their duties with regard to risk management in each department, grasp, analyze, and evaluate inherent risks, consider and implement appropriate measures, and periodically review the status of such risk management.</w:t>
      </w:r>
    </w:p>
    <w:p>
      <w:pPr>
        <w:spacing w:after="0" w:line="200" w:lineRule="exact"/>
        <w:rPr>
          <w:rFonts w:ascii="Times New Roman" w:cs="Times New Roman" w:eastAsia="Times New Roman" w:hAnsi="Times New Roman"/>
          <w:sz w:val="18"/>
          <w:szCs w:val="18"/>
          <w:color w:val="auto"/>
        </w:rPr>
      </w:pPr>
    </w:p>
    <w:p>
      <w:pPr>
        <w:spacing w:after="0" w:line="214"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3"/>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ind w:left="648" w:hanging="324"/>
        <w:spacing w:after="0" w:line="282" w:lineRule="auto"/>
        <w:tabs>
          <w:tab w:leader="none" w:pos="648" w:val="left"/>
        </w:tabs>
        <w:numPr>
          <w:ilvl w:val="1"/>
          <w:numId w:val="2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Corporate Auditors shall audit the status of risk management in each division and report the results to the Board of Directors. The Board of Directors shall periodically review the risk management system and strive to identify problems and improve them.</w:t>
      </w:r>
    </w:p>
    <w:p>
      <w:pPr>
        <w:spacing w:after="0" w:line="161" w:lineRule="exact"/>
        <w:rPr>
          <w:rFonts w:ascii="MS PGothic" w:cs="MS PGothic" w:eastAsia="MS PGothic" w:hAnsi="MS PGothic"/>
          <w:sz w:val="18"/>
          <w:szCs w:val="18"/>
          <w:color w:val="auto"/>
        </w:rPr>
      </w:pPr>
    </w:p>
    <w:p>
      <w:pPr>
        <w:ind w:left="328" w:hanging="328"/>
        <w:spacing w:after="0"/>
        <w:tabs>
          <w:tab w:leader="none" w:pos="32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 to ensure efficient execution of duties by directors</w:t>
      </w:r>
    </w:p>
    <w:p>
      <w:pPr>
        <w:spacing w:after="0" w:line="184" w:lineRule="exact"/>
        <w:rPr>
          <w:rFonts w:ascii="Times New Roman" w:cs="Times New Roman" w:eastAsia="Times New Roman" w:hAnsi="Times New Roman"/>
          <w:sz w:val="18"/>
          <w:szCs w:val="18"/>
          <w:color w:val="auto"/>
        </w:rPr>
      </w:pPr>
    </w:p>
    <w:p>
      <w:pPr>
        <w:ind w:left="648" w:hanging="324"/>
        <w:spacing w:after="0" w:line="245"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①</w:t>
      </w:r>
      <w:r>
        <w:rPr>
          <w:rFonts w:ascii="Times New Roman" w:cs="Times New Roman" w:eastAsia="Times New Roman" w:hAnsi="Times New Roman"/>
          <w:sz w:val="18"/>
          <w:szCs w:val="18"/>
          <w:color w:val="auto"/>
        </w:rPr>
        <w:t xml:space="preserve"> With the aim of increasing corporate value, we will work to achieve our goals based on a business plan formulated based on our corporate philosophy, and manage the progress of our goals.</w:t>
      </w:r>
    </w:p>
    <w:p>
      <w:pPr>
        <w:spacing w:after="0" w:line="158" w:lineRule="exact"/>
        <w:rPr>
          <w:rFonts w:ascii="Times New Roman" w:cs="Times New Roman" w:eastAsia="Times New Roman" w:hAnsi="Times New Roman"/>
          <w:sz w:val="18"/>
          <w:szCs w:val="18"/>
          <w:color w:val="auto"/>
        </w:rPr>
      </w:pPr>
    </w:p>
    <w:p>
      <w:pPr>
        <w:ind w:left="648" w:hanging="324"/>
        <w:spacing w:after="0" w:line="245"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②</w:t>
      </w:r>
      <w:r>
        <w:rPr>
          <w:rFonts w:ascii="Times New Roman" w:cs="Times New Roman" w:eastAsia="Times New Roman" w:hAnsi="Times New Roman"/>
          <w:sz w:val="18"/>
          <w:szCs w:val="18"/>
          <w:color w:val="auto"/>
        </w:rPr>
        <w:t xml:space="preserve"> In addition to the regular Board of Directors meeting (once a month), extraordinary meetings of the Board of Directors shall be held as necessary as the basis of the system to ensure that the execution of duties by directors is carried out efficiently.</w:t>
      </w:r>
    </w:p>
    <w:p>
      <w:pPr>
        <w:spacing w:after="0" w:line="198" w:lineRule="exact"/>
        <w:rPr>
          <w:rFonts w:ascii="Times New Roman" w:cs="Times New Roman" w:eastAsia="Times New Roman" w:hAnsi="Times New Roman"/>
          <w:sz w:val="18"/>
          <w:szCs w:val="18"/>
          <w:color w:val="auto"/>
        </w:rPr>
      </w:pPr>
    </w:p>
    <w:p>
      <w:pPr>
        <w:jc w:val="both"/>
        <w:ind w:left="648" w:hanging="324"/>
        <w:spacing w:after="0" w:line="266" w:lineRule="auto"/>
        <w:tabs>
          <w:tab w:leader="none" w:pos="648" w:val="left"/>
        </w:tabs>
        <w:numPr>
          <w:ilvl w:val="1"/>
          <w:numId w:val="2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The Company shall establish various internal regulations, such as the Regulations on the Segregation of Duties, the Regulations on Administrative Authority and Decision-Making Authority, and establish a system for the proper and efficient execution of duties by clarifying the authority and responsibilities of each officer.</w:t>
      </w:r>
    </w:p>
    <w:p>
      <w:pPr>
        <w:spacing w:after="0" w:line="176" w:lineRule="exact"/>
        <w:rPr>
          <w:sz w:val="20"/>
          <w:szCs w:val="20"/>
          <w:color w:val="auto"/>
        </w:rPr>
      </w:pPr>
    </w:p>
    <w:p>
      <w:pPr>
        <w:ind w:left="648" w:hanging="324"/>
        <w:spacing w:after="0" w:line="282" w:lineRule="auto"/>
        <w:tabs>
          <w:tab w:leader="none" w:pos="648" w:val="left"/>
        </w:tabs>
        <w:numPr>
          <w:ilvl w:val="1"/>
          <w:numId w:val="2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The Company shall supervise the establishment and operation of internal control systems at its subsidiaries to ensure a balance between ensuring the efficiency and promptness of the execution of duties by directors.</w:t>
      </w:r>
    </w:p>
    <w:p>
      <w:pPr>
        <w:spacing w:after="0" w:line="161" w:lineRule="exact"/>
        <w:rPr>
          <w:rFonts w:ascii="MS PGothic" w:cs="MS PGothic" w:eastAsia="MS PGothic" w:hAnsi="MS PGothic"/>
          <w:sz w:val="18"/>
          <w:szCs w:val="18"/>
          <w:color w:val="auto"/>
        </w:rPr>
      </w:pPr>
    </w:p>
    <w:p>
      <w:pPr>
        <w:ind w:left="328" w:hanging="328"/>
        <w:spacing w:after="0"/>
        <w:tabs>
          <w:tab w:leader="none" w:pos="32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 to ensure the appropriateness of business operations of the corporate group consisting of the Company and its subsidiaries</w:t>
      </w:r>
    </w:p>
    <w:p>
      <w:pPr>
        <w:spacing w:after="0" w:line="225" w:lineRule="exact"/>
        <w:rPr>
          <w:rFonts w:ascii="Times New Roman" w:cs="Times New Roman" w:eastAsia="Times New Roman" w:hAnsi="Times New Roman"/>
          <w:sz w:val="18"/>
          <w:szCs w:val="18"/>
          <w:color w:val="auto"/>
        </w:rPr>
      </w:pPr>
    </w:p>
    <w:p>
      <w:pPr>
        <w:ind w:left="328" w:right="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ensure the appropriate business operations of the entire Group, including subsidiaries, we will strive to build a compliance system for the entire Group.</w:t>
      </w:r>
    </w:p>
    <w:p>
      <w:pPr>
        <w:spacing w:after="0" w:line="161" w:lineRule="exact"/>
        <w:rPr>
          <w:rFonts w:ascii="Times New Roman" w:cs="Times New Roman" w:eastAsia="Times New Roman" w:hAnsi="Times New Roman"/>
          <w:sz w:val="18"/>
          <w:szCs w:val="18"/>
          <w:color w:val="auto"/>
        </w:rPr>
      </w:pPr>
    </w:p>
    <w:p>
      <w:pPr>
        <w:ind w:left="328" w:right="1680" w:hanging="328"/>
        <w:spacing w:after="0" w:line="500" w:lineRule="auto"/>
        <w:tabs>
          <w:tab w:leader="none" w:pos="32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 for employees who assist the duties of Corporate Auditors and the independence of such employees from Directors; Matters concerning the effectiveness of instructions to the employees</w:t>
      </w:r>
    </w:p>
    <w:p>
      <w:pPr>
        <w:spacing w:after="0" w:line="1" w:lineRule="exact"/>
        <w:rPr>
          <w:rFonts w:ascii="Times New Roman" w:cs="Times New Roman" w:eastAsia="Times New Roman" w:hAnsi="Times New Roman"/>
          <w:sz w:val="18"/>
          <w:szCs w:val="18"/>
          <w:color w:val="auto"/>
        </w:rPr>
      </w:pPr>
    </w:p>
    <w:p>
      <w:pPr>
        <w:ind w:left="328"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Employees who assist in the duties of the Corporate Auditors shall be assigned to assist the Corporate Auditors when requested, and the consent of Corporate Auditor shall be obtained for the transfer and evaluation of such employees.</w:t>
      </w:r>
    </w:p>
    <w:p>
      <w:pPr>
        <w:spacing w:after="0" w:line="161"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 for directors and employees to report to Corporate Auditors, other systems for reporting to Corporate Auditors, and other systems to ensure that audits by Corporate Auditors are conducted effectively</w:t>
      </w:r>
    </w:p>
    <w:p>
      <w:pPr>
        <w:spacing w:after="0" w:line="120" w:lineRule="exact"/>
        <w:rPr>
          <w:rFonts w:ascii="Times New Roman" w:cs="Times New Roman" w:eastAsia="Times New Roman" w:hAnsi="Times New Roman"/>
          <w:sz w:val="18"/>
          <w:szCs w:val="18"/>
          <w:color w:val="auto"/>
        </w:rPr>
      </w:pPr>
    </w:p>
    <w:p>
      <w:pPr>
        <w:ind w:left="648" w:hanging="324"/>
        <w:spacing w:after="0" w:line="245"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①</w:t>
      </w:r>
      <w:r>
        <w:rPr>
          <w:rFonts w:ascii="Times New Roman" w:cs="Times New Roman" w:eastAsia="Times New Roman" w:hAnsi="Times New Roman"/>
          <w:sz w:val="18"/>
          <w:szCs w:val="18"/>
          <w:color w:val="auto"/>
        </w:rPr>
        <w:t xml:space="preserve"> Directors and employees of the Company and its subsidiaries shall immediately report to the Corporate Auditors of the Company any fact that may cause significant damage to the Company.</w:t>
      </w:r>
    </w:p>
    <w:p>
      <w:pPr>
        <w:spacing w:after="0" w:line="158" w:lineRule="exact"/>
        <w:rPr>
          <w:rFonts w:ascii="Times New Roman" w:cs="Times New Roman" w:eastAsia="Times New Roman" w:hAnsi="Times New Roman"/>
          <w:sz w:val="18"/>
          <w:szCs w:val="18"/>
          <w:color w:val="auto"/>
        </w:rPr>
      </w:pPr>
    </w:p>
    <w:p>
      <w:pPr>
        <w:ind w:left="648" w:hanging="324"/>
        <w:spacing w:after="0" w:line="245"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②</w:t>
      </w:r>
      <w:r>
        <w:rPr>
          <w:rFonts w:ascii="Times New Roman" w:cs="Times New Roman" w:eastAsia="Times New Roman" w:hAnsi="Times New Roman"/>
          <w:sz w:val="18"/>
          <w:szCs w:val="18"/>
          <w:color w:val="auto"/>
        </w:rPr>
        <w:t xml:space="preserve"> Corporate Auditors shall attend important meetings of the Board of Directors, etc. and receive reports from the directors of the Company and its subsidiaries on the status of the execution of the duties for which they are responsible.</w:t>
      </w:r>
    </w:p>
    <w:p>
      <w:pPr>
        <w:spacing w:after="0" w:line="158" w:lineRule="exact"/>
        <w:rPr>
          <w:rFonts w:ascii="Times New Roman" w:cs="Times New Roman" w:eastAsia="Times New Roman" w:hAnsi="Times New Roman"/>
          <w:sz w:val="18"/>
          <w:szCs w:val="18"/>
          <w:color w:val="auto"/>
        </w:rPr>
      </w:pPr>
    </w:p>
    <w:p>
      <w:pPr>
        <w:ind w:left="648" w:right="20" w:hanging="324"/>
        <w:spacing w:after="0" w:line="245"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③</w:t>
      </w:r>
      <w:r>
        <w:rPr>
          <w:rFonts w:ascii="Times New Roman" w:cs="Times New Roman" w:eastAsia="Times New Roman" w:hAnsi="Times New Roman"/>
          <w:sz w:val="18"/>
          <w:szCs w:val="18"/>
          <w:color w:val="auto"/>
        </w:rPr>
        <w:t xml:space="preserve"> Corporate Auditors may inspect important documents related to the execution of business, such as approval documents, and request explanations from directors and employees of the Company and its subsidiaries.</w:t>
      </w:r>
    </w:p>
    <w:p>
      <w:pPr>
        <w:spacing w:after="0" w:line="198" w:lineRule="exact"/>
        <w:rPr>
          <w:rFonts w:ascii="Times New Roman" w:cs="Times New Roman" w:eastAsia="Times New Roman" w:hAnsi="Times New Roman"/>
          <w:sz w:val="18"/>
          <w:szCs w:val="18"/>
          <w:color w:val="auto"/>
        </w:rPr>
      </w:pPr>
    </w:p>
    <w:p>
      <w:pPr>
        <w:ind w:left="648" w:hanging="324"/>
        <w:spacing w:after="0"/>
        <w:tabs>
          <w:tab w:leader="none" w:pos="648" w:val="left"/>
        </w:tabs>
        <w:numPr>
          <w:ilvl w:val="1"/>
          <w:numId w:val="2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Corporate Auditors and Representative Director shall hold regular meetings to exchange opinions in order to promote mutual communication.</w:t>
      </w:r>
    </w:p>
    <w:p>
      <w:pPr>
        <w:spacing w:after="0" w:line="225" w:lineRule="exact"/>
        <w:rPr>
          <w:rFonts w:ascii="MS PGothic" w:cs="MS PGothic" w:eastAsia="MS PGothic" w:hAnsi="MS PGothic"/>
          <w:sz w:val="18"/>
          <w:szCs w:val="18"/>
          <w:color w:val="auto"/>
        </w:rPr>
      </w:pPr>
    </w:p>
    <w:p>
      <w:pPr>
        <w:ind w:left="328" w:hanging="328"/>
        <w:spacing w:after="0"/>
        <w:tabs>
          <w:tab w:leader="none" w:pos="32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ensure that people who report to the Corporate Auditors are not treated unfavorably because of such reports system</w:t>
      </w:r>
    </w:p>
    <w:p>
      <w:pPr>
        <w:spacing w:after="0" w:line="225" w:lineRule="exact"/>
        <w:rPr>
          <w:rFonts w:ascii="Times New Roman" w:cs="Times New Roman" w:eastAsia="Times New Roman" w:hAnsi="Times New Roman"/>
          <w:sz w:val="18"/>
          <w:szCs w:val="18"/>
          <w:color w:val="auto"/>
        </w:rPr>
      </w:pPr>
    </w:p>
    <w:p>
      <w:pPr>
        <w:ind w:left="328"/>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shall prohibit any person who reports unfavorably to a person who has reported to the Corporate Auditors on the grounds that he or she has made a report and shall ensure that this is fully informed.</w:t>
      </w:r>
    </w:p>
    <w:p>
      <w:pPr>
        <w:spacing w:after="0" w:line="377" w:lineRule="exact"/>
        <w:rPr>
          <w:rFonts w:ascii="Times New Roman" w:cs="Times New Roman" w:eastAsia="Times New Roman" w:hAnsi="Times New Roman"/>
          <w:sz w:val="18"/>
          <w:szCs w:val="18"/>
          <w:color w:val="auto"/>
        </w:rPr>
      </w:pPr>
    </w:p>
    <w:p>
      <w:pPr>
        <w:ind w:left="5208" w:hanging="111"/>
        <w:spacing w:after="0"/>
        <w:tabs>
          <w:tab w:leader="none" w:pos="5208"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04" w:right="339" w:bottom="1440" w:gutter="0" w:footer="0" w:header="0"/>
        </w:sectPr>
      </w:pPr>
    </w:p>
    <w:bookmarkStart w:id="17" w:name="page18"/>
    <w:bookmarkEnd w:id="17"/>
    <w:p>
      <w:pPr>
        <w:ind w:left="66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Matters concerning procedures for advance payment or reimbursement of expenses incurred in the execution of duties by Corporate Auditors and other policies related to the processing of expenses or liabilities incurred in the execution of such duties</w:t>
      </w:r>
    </w:p>
    <w:p>
      <w:pPr>
        <w:spacing w:after="0" w:line="161" w:lineRule="exact"/>
        <w:rPr>
          <w:rFonts w:ascii="Times New Roman" w:cs="Times New Roman" w:eastAsia="Times New Roman" w:hAnsi="Times New Roman"/>
          <w:sz w:val="18"/>
          <w:szCs w:val="18"/>
          <w:color w:val="auto"/>
        </w:rPr>
      </w:pPr>
    </w:p>
    <w:p>
      <w:pPr>
        <w:ind w:lef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a Corporate Auditors requests advance payment or reimbursement of expenses incurred in the execution of his/her duties, we will respond promptly.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Basic Approach to the Elimination of Anti-Social Forces and Status of Development</w:t>
      </w:r>
    </w:p>
    <w:p>
      <w:pPr>
        <w:spacing w:after="0" w:line="225" w:lineRule="exact"/>
        <w:rPr>
          <w:rFonts w:ascii="Times New Roman" w:cs="Times New Roman" w:eastAsia="Times New Roman" w:hAnsi="Times New Roman"/>
          <w:sz w:val="18"/>
          <w:szCs w:val="18"/>
          <w:color w:val="auto"/>
        </w:rPr>
      </w:pPr>
    </w:p>
    <w:p>
      <w:pPr>
        <w:ind w:left="660" w:right="3700"/>
        <w:spacing w:after="0" w:line="50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ensure sound corporate management, we will take a resolute stance against antisocial forces. Our basic policy is not to have any relationship whatsoever.</w:t>
      </w:r>
    </w:p>
    <w:p>
      <w:pPr>
        <w:spacing w:after="0" w:line="1" w:lineRule="exact"/>
        <w:rPr>
          <w:rFonts w:ascii="Times New Roman" w:cs="Times New Roman" w:eastAsia="Times New Roman" w:hAnsi="Times New Roman"/>
          <w:sz w:val="18"/>
          <w:szCs w:val="18"/>
          <w:color w:val="auto"/>
        </w:rPr>
      </w:pPr>
    </w:p>
    <w:p>
      <w:pPr>
        <w:jc w:val="both"/>
        <w:ind w:left="6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Affairs Department is the department that oversees the response to anti-social forces, and the General Manager is responsible for it. In addition, we work closely with external organizations such as corporate lawyers, the police, and the Federation of Special Violence Prevention Measures under the jurisdiction of the Metropolitan Police Department to develop a system and collect information that enables the organization to respond promptly, and to thoroughly educate employees.</w:t>
      </w:r>
    </w:p>
    <w:p>
      <w:pPr>
        <w:spacing w:after="0" w:line="180" w:lineRule="exact"/>
        <w:rPr>
          <w:sz w:val="20"/>
          <w:szCs w:val="20"/>
          <w:color w:val="auto"/>
        </w:rPr>
      </w:pPr>
    </w:p>
    <w:p>
      <w:pPr>
        <w:ind w:left="340" w:hanging="332"/>
        <w:spacing w:after="0"/>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Overview of the operational status of the system to ensure the appropriateness of business operations</w:t>
      </w:r>
    </w:p>
    <w:p>
      <w:pPr>
        <w:spacing w:after="0" w:line="225"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The Company has established a system to ensure the appropriateness of business operations, and the Board of Directors and other meetings continuously identify and analyze management risks and consider countermeasures. As a result, we review internal regulations and operations as necessary to improve the effectiveness of the internal control system. In addition to audits by Corporate Auditors, Corporate Auditors also attend important internal meetings to monitor the status of business execution and risks related to compliance. In addition, we regularly conduct internal audits to verify that our day-to-day operations do not violate laws and regulations, the Articles of Incorporation, internal regulations, etc.</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07"/>
        </w:trPr>
        <w:tc>
          <w:tcPr>
            <w:tcW w:w="4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gridSpan w:val="4"/>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b w:val="1"/>
                <w:bCs w:val="1"/>
                <w:color w:val="auto"/>
              </w:rPr>
              <w:t>Balance Sheet</w:t>
            </w:r>
          </w:p>
        </w:tc>
        <w:tc>
          <w:tcPr>
            <w:tcW w:w="374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color w:val="auto"/>
              </w:rPr>
              <w:t>As</w:t>
            </w:r>
          </w:p>
        </w:tc>
        <w:tc>
          <w:tcPr>
            <w:tcW w:w="1080" w:type="dxa"/>
            <w:vAlign w:val="bottom"/>
            <w:tcBorders>
              <w:bottom w:val="single" w:sz="8" w:color="auto"/>
            </w:tcBorders>
            <w:gridSpan w:val="4"/>
          </w:tcPr>
          <w:p>
            <w:pPr>
              <w:spacing w:after="0" w:line="20" w:lineRule="exact"/>
              <w:rPr>
                <w:sz w:val="1"/>
                <w:szCs w:val="1"/>
                <w:color w:val="auto"/>
              </w:rPr>
            </w:pPr>
          </w:p>
        </w:tc>
        <w:tc>
          <w:tcPr>
            <w:tcW w:w="37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48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of March 31, 2026</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4"/>
        </w:trPr>
        <w:tc>
          <w:tcPr>
            <w:tcW w:w="4400" w:type="dxa"/>
            <w:vAlign w:val="bottom"/>
            <w:gridSpan w:val="2"/>
            <w:vMerge w:val="restart"/>
          </w:tcPr>
          <w:p>
            <w:pPr>
              <w:ind w:left="260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560" w:type="dxa"/>
            <w:vAlign w:val="bottom"/>
            <w:vMerge w:val="restart"/>
          </w:tcPr>
          <w:p>
            <w:pPr>
              <w:ind w:left="176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34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(Unit: 1,000 yen)</w:t>
            </w:r>
          </w:p>
        </w:tc>
        <w:tc>
          <w:tcPr>
            <w:tcW w:w="0" w:type="dxa"/>
            <w:vAlign w:val="bottom"/>
          </w:tcPr>
          <w:p>
            <w:pPr>
              <w:spacing w:after="0"/>
              <w:rPr>
                <w:sz w:val="1"/>
                <w:szCs w:val="1"/>
                <w:color w:val="auto"/>
              </w:rPr>
            </w:pPr>
          </w:p>
        </w:tc>
      </w:tr>
      <w:tr>
        <w:trPr>
          <w:trHeight w:val="237"/>
        </w:trPr>
        <w:tc>
          <w:tcPr>
            <w:tcW w:w="4400" w:type="dxa"/>
            <w:vAlign w:val="bottom"/>
            <w:tcBorders>
              <w:bottom w:val="single" w:sz="8" w:color="auto"/>
            </w:tcBorders>
            <w:gridSpan w:val="2"/>
            <w:vMerge w:val="continue"/>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56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Accounts</w:t>
            </w:r>
          </w:p>
        </w:tc>
        <w:tc>
          <w:tcPr>
            <w:tcW w:w="240" w:type="dxa"/>
            <w:vAlign w:val="bottom"/>
          </w:tcPr>
          <w:p>
            <w:pPr>
              <w:spacing w:after="0"/>
              <w:rPr>
                <w:sz w:val="20"/>
                <w:szCs w:val="20"/>
                <w:color w:val="auto"/>
              </w:rPr>
            </w:pPr>
          </w:p>
        </w:tc>
        <w:tc>
          <w:tcPr>
            <w:tcW w:w="102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Amount</w:t>
            </w:r>
          </w:p>
        </w:tc>
        <w:tc>
          <w:tcPr>
            <w:tcW w:w="120" w:type="dxa"/>
            <w:vAlign w:val="bottom"/>
          </w:tcPr>
          <w:p>
            <w:pPr>
              <w:spacing w:after="0"/>
              <w:rPr>
                <w:sz w:val="20"/>
                <w:szCs w:val="20"/>
                <w:color w:val="auto"/>
              </w:rPr>
            </w:pPr>
          </w:p>
        </w:tc>
        <w:tc>
          <w:tcPr>
            <w:tcW w:w="4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Accounts</w:t>
            </w:r>
          </w:p>
        </w:tc>
        <w:tc>
          <w:tcPr>
            <w:tcW w:w="100" w:type="dxa"/>
            <w:vAlign w:val="bottom"/>
          </w:tcPr>
          <w:p>
            <w:pPr>
              <w:spacing w:after="0"/>
              <w:rPr>
                <w:sz w:val="20"/>
                <w:szCs w:val="20"/>
                <w:color w:val="auto"/>
              </w:rPr>
            </w:pP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Amount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20,751,282</w:t>
            </w:r>
          </w:p>
        </w:tc>
        <w:tc>
          <w:tcPr>
            <w:tcW w:w="120" w:type="dxa"/>
            <w:vAlign w:val="bottom"/>
            <w:tcBorders>
              <w:top w:val="single" w:sz="8" w:color="CCEEFF"/>
            </w:tcBorders>
            <w:shd w:val="clear" w:color="auto" w:fill="CCEEFF"/>
          </w:tcPr>
          <w:p>
            <w:pPr>
              <w:spacing w:after="0"/>
              <w:rPr>
                <w:sz w:val="18"/>
                <w:szCs w:val="18"/>
                <w:color w:val="auto"/>
              </w:rPr>
            </w:pPr>
          </w:p>
        </w:tc>
        <w:tc>
          <w:tcPr>
            <w:tcW w:w="4140" w:type="dxa"/>
            <w:vAlign w:val="bottom"/>
            <w:tcBorders>
              <w:top w:val="single" w:sz="8" w:color="auto"/>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23,840,527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Cash &amp; deposits</w:t>
            </w:r>
          </w:p>
        </w:tc>
        <w:tc>
          <w:tcPr>
            <w:tcW w:w="240" w:type="dxa"/>
            <w:vAlign w:val="bottom"/>
          </w:tcPr>
          <w:p>
            <w:pPr>
              <w:spacing w:after="0"/>
              <w:rPr>
                <w:sz w:val="18"/>
                <w:szCs w:val="18"/>
                <w:color w:val="auto"/>
              </w:rPr>
            </w:pPr>
          </w:p>
        </w:tc>
        <w:tc>
          <w:tcPr>
            <w:tcW w:w="10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251,215</w:t>
            </w:r>
          </w:p>
        </w:tc>
        <w:tc>
          <w:tcPr>
            <w:tcW w:w="42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13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16,022,856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24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17,697,613</w:t>
            </w:r>
          </w:p>
        </w:tc>
        <w:tc>
          <w:tcPr>
            <w:tcW w:w="4260" w:type="dxa"/>
            <w:vAlign w:val="bottom"/>
            <w:gridSpan w:val="5"/>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Short-term borrowings</w:t>
            </w:r>
          </w:p>
        </w:tc>
        <w:tc>
          <w:tcPr>
            <w:tcW w:w="13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6,910,459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Products</w:t>
            </w:r>
          </w:p>
        </w:tc>
        <w:tc>
          <w:tcPr>
            <w:tcW w:w="240" w:type="dxa"/>
            <w:vAlign w:val="bottom"/>
          </w:tcPr>
          <w:p>
            <w:pPr>
              <w:spacing w:after="0"/>
              <w:rPr>
                <w:sz w:val="18"/>
                <w:szCs w:val="18"/>
                <w:color w:val="auto"/>
              </w:rPr>
            </w:pPr>
          </w:p>
        </w:tc>
        <w:tc>
          <w:tcPr>
            <w:tcW w:w="10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1,954,805</w:t>
            </w:r>
          </w:p>
        </w:tc>
        <w:tc>
          <w:tcPr>
            <w:tcW w:w="42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Long-term loans to be repaid within one year</w:t>
            </w:r>
          </w:p>
        </w:tc>
        <w:tc>
          <w:tcPr>
            <w:tcW w:w="13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168,220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Previous payment</w:t>
            </w:r>
          </w:p>
        </w:tc>
        <w:tc>
          <w:tcPr>
            <w:tcW w:w="24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13,962</w:t>
            </w:r>
          </w:p>
        </w:tc>
        <w:tc>
          <w:tcPr>
            <w:tcW w:w="4260" w:type="dxa"/>
            <w:vAlign w:val="bottom"/>
            <w:gridSpan w:val="5"/>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Payables</w:t>
            </w:r>
          </w:p>
        </w:tc>
        <w:tc>
          <w:tcPr>
            <w:tcW w:w="13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151,203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For prepayment</w:t>
            </w:r>
          </w:p>
        </w:tc>
        <w:tc>
          <w:tcPr>
            <w:tcW w:w="240" w:type="dxa"/>
            <w:vAlign w:val="bottom"/>
          </w:tcPr>
          <w:p>
            <w:pPr>
              <w:spacing w:after="0"/>
              <w:rPr>
                <w:sz w:val="18"/>
                <w:szCs w:val="18"/>
                <w:color w:val="auto"/>
              </w:rPr>
            </w:pPr>
          </w:p>
        </w:tc>
        <w:tc>
          <w:tcPr>
            <w:tcW w:w="10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11,020</w:t>
            </w:r>
          </w:p>
        </w:tc>
        <w:tc>
          <w:tcPr>
            <w:tcW w:w="42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Accrued expenses</w:t>
            </w:r>
          </w:p>
        </w:tc>
        <w:tc>
          <w:tcPr>
            <w:tcW w:w="13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3,314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loans</w:t>
            </w:r>
          </w:p>
        </w:tc>
        <w:tc>
          <w:tcPr>
            <w:tcW w:w="24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178,312</w:t>
            </w:r>
          </w:p>
        </w:tc>
        <w:tc>
          <w:tcPr>
            <w:tcW w:w="4260" w:type="dxa"/>
            <w:vAlign w:val="bottom"/>
            <w:gridSpan w:val="5"/>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Advance payments</w:t>
            </w:r>
          </w:p>
        </w:tc>
        <w:tc>
          <w:tcPr>
            <w:tcW w:w="13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329,278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Reimbursement</w:t>
            </w:r>
          </w:p>
        </w:tc>
        <w:tc>
          <w:tcPr>
            <w:tcW w:w="240" w:type="dxa"/>
            <w:vAlign w:val="bottom"/>
          </w:tcPr>
          <w:p>
            <w:pPr>
              <w:spacing w:after="0"/>
              <w:rPr>
                <w:sz w:val="18"/>
                <w:szCs w:val="18"/>
                <w:color w:val="auto"/>
              </w:rPr>
            </w:pPr>
          </w:p>
        </w:tc>
        <w:tc>
          <w:tcPr>
            <w:tcW w:w="10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300,292</w:t>
            </w:r>
          </w:p>
        </w:tc>
        <w:tc>
          <w:tcPr>
            <w:tcW w:w="42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Deposit</w:t>
            </w:r>
          </w:p>
        </w:tc>
        <w:tc>
          <w:tcPr>
            <w:tcW w:w="13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5,565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Unearned money</w:t>
            </w:r>
          </w:p>
        </w:tc>
        <w:tc>
          <w:tcPr>
            <w:tcW w:w="24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139,007</w:t>
            </w:r>
          </w:p>
        </w:tc>
        <w:tc>
          <w:tcPr>
            <w:tcW w:w="4260" w:type="dxa"/>
            <w:vAlign w:val="bottom"/>
            <w:gridSpan w:val="5"/>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Accrued corporate taxes, etc.</w:t>
            </w:r>
          </w:p>
        </w:tc>
        <w:tc>
          <w:tcPr>
            <w:tcW w:w="13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219,353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Accrued refundable consumption tax, etc.</w:t>
            </w:r>
          </w:p>
        </w:tc>
        <w:tc>
          <w:tcPr>
            <w:tcW w:w="240" w:type="dxa"/>
            <w:vAlign w:val="bottom"/>
          </w:tcPr>
          <w:p>
            <w:pPr>
              <w:spacing w:after="0"/>
              <w:rPr>
                <w:sz w:val="18"/>
                <w:szCs w:val="18"/>
                <w:color w:val="auto"/>
              </w:rPr>
            </w:pPr>
          </w:p>
        </w:tc>
        <w:tc>
          <w:tcPr>
            <w:tcW w:w="10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383,612</w:t>
            </w:r>
          </w:p>
        </w:tc>
        <w:tc>
          <w:tcPr>
            <w:tcW w:w="42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Accrued consumption tax, etc.</w:t>
            </w:r>
          </w:p>
        </w:tc>
        <w:tc>
          <w:tcPr>
            <w:tcW w:w="13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9,783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Allowance for bad debts</w:t>
            </w:r>
          </w:p>
        </w:tc>
        <w:tc>
          <w:tcPr>
            <w:tcW w:w="240" w:type="dxa"/>
            <w:vAlign w:val="bottom"/>
            <w:shd w:val="clear" w:color="auto" w:fill="CCEEFF"/>
          </w:tcPr>
          <w:p>
            <w:pPr>
              <w:spacing w:after="0" w:line="181" w:lineRule="exact"/>
              <w:rPr>
                <w:sz w:val="20"/>
                <w:szCs w:val="20"/>
                <w:color w:val="auto"/>
              </w:rPr>
            </w:pPr>
            <w:r>
              <w:rPr>
                <w:rFonts w:ascii="MS PGothic" w:cs="MS PGothic" w:eastAsia="MS PGothic" w:hAnsi="MS PGothic"/>
                <w:sz w:val="18"/>
                <w:szCs w:val="18"/>
                <w:color w:val="auto"/>
              </w:rPr>
              <w:t>△</w:t>
            </w:r>
          </w:p>
        </w:tc>
        <w:tc>
          <w:tcPr>
            <w:tcW w:w="10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178,560</w:t>
            </w:r>
          </w:p>
        </w:tc>
        <w:tc>
          <w:tcPr>
            <w:tcW w:w="4260" w:type="dxa"/>
            <w:vAlign w:val="bottom"/>
            <w:gridSpan w:val="5"/>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Short-term lease obligations</w:t>
            </w:r>
          </w:p>
        </w:tc>
        <w:tc>
          <w:tcPr>
            <w:tcW w:w="13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12,953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Fixed Assets</w:t>
            </w:r>
          </w:p>
        </w:tc>
        <w:tc>
          <w:tcPr>
            <w:tcW w:w="240" w:type="dxa"/>
            <w:vAlign w:val="bottom"/>
          </w:tcPr>
          <w:p>
            <w:pPr>
              <w:spacing w:after="0"/>
              <w:rPr>
                <w:sz w:val="18"/>
                <w:szCs w:val="18"/>
                <w:color w:val="auto"/>
              </w:rPr>
            </w:pPr>
          </w:p>
        </w:tc>
        <w:tc>
          <w:tcPr>
            <w:tcW w:w="10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9,819,604</w:t>
            </w:r>
          </w:p>
        </w:tc>
        <w:tc>
          <w:tcPr>
            <w:tcW w:w="42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Bonus allowance</w:t>
            </w:r>
          </w:p>
        </w:tc>
        <w:tc>
          <w:tcPr>
            <w:tcW w:w="13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1,507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4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152,079</w:t>
            </w:r>
          </w:p>
        </w:tc>
        <w:tc>
          <w:tcPr>
            <w:tcW w:w="4260" w:type="dxa"/>
            <w:vAlign w:val="bottom"/>
            <w:gridSpan w:val="5"/>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Point allowance</w:t>
            </w:r>
          </w:p>
        </w:tc>
        <w:tc>
          <w:tcPr>
            <w:tcW w:w="13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Facilities attached to the building</w:t>
            </w:r>
          </w:p>
        </w:tc>
        <w:tc>
          <w:tcPr>
            <w:tcW w:w="240" w:type="dxa"/>
            <w:vAlign w:val="bottom"/>
          </w:tcPr>
          <w:p>
            <w:pPr>
              <w:spacing w:after="0"/>
              <w:rPr>
                <w:sz w:val="18"/>
                <w:szCs w:val="18"/>
                <w:color w:val="auto"/>
              </w:rPr>
            </w:pPr>
          </w:p>
        </w:tc>
        <w:tc>
          <w:tcPr>
            <w:tcW w:w="10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212,441</w:t>
            </w:r>
          </w:p>
        </w:tc>
        <w:tc>
          <w:tcPr>
            <w:tcW w:w="42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Contractual liabilities</w:t>
            </w:r>
          </w:p>
        </w:tc>
        <w:tc>
          <w:tcPr>
            <w:tcW w:w="13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5,810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Vehicle transport equipment</w:t>
            </w:r>
          </w:p>
        </w:tc>
        <w:tc>
          <w:tcPr>
            <w:tcW w:w="24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9,090</w:t>
            </w:r>
          </w:p>
        </w:tc>
        <w:tc>
          <w:tcPr>
            <w:tcW w:w="4260" w:type="dxa"/>
            <w:vAlign w:val="bottom"/>
            <w:gridSpan w:val="5"/>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Fixed Liabilities</w:t>
            </w:r>
          </w:p>
        </w:tc>
        <w:tc>
          <w:tcPr>
            <w:tcW w:w="13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1,167,851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Tools, Equipment, and Fixtures</w:t>
            </w:r>
          </w:p>
        </w:tc>
        <w:tc>
          <w:tcPr>
            <w:tcW w:w="240" w:type="dxa"/>
            <w:vAlign w:val="bottom"/>
          </w:tcPr>
          <w:p>
            <w:pPr>
              <w:spacing w:after="0"/>
              <w:rPr>
                <w:sz w:val="18"/>
                <w:szCs w:val="18"/>
                <w:color w:val="auto"/>
              </w:rPr>
            </w:pPr>
          </w:p>
        </w:tc>
        <w:tc>
          <w:tcPr>
            <w:tcW w:w="10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116,111</w:t>
            </w:r>
          </w:p>
        </w:tc>
        <w:tc>
          <w:tcPr>
            <w:tcW w:w="42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Long-term borrowings</w:t>
            </w:r>
          </w:p>
        </w:tc>
        <w:tc>
          <w:tcPr>
            <w:tcW w:w="13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Tangible leased assets</w:t>
            </w:r>
          </w:p>
        </w:tc>
        <w:tc>
          <w:tcPr>
            <w:tcW w:w="24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82,707</w:t>
            </w:r>
          </w:p>
        </w:tc>
        <w:tc>
          <w:tcPr>
            <w:tcW w:w="4260" w:type="dxa"/>
            <w:vAlign w:val="bottom"/>
            <w:gridSpan w:val="5"/>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Deposit</w:t>
            </w:r>
          </w:p>
        </w:tc>
        <w:tc>
          <w:tcPr>
            <w:tcW w:w="13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31,922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24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10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268,271</w:t>
            </w:r>
          </w:p>
        </w:tc>
        <w:tc>
          <w:tcPr>
            <w:tcW w:w="42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Long-term payables</w:t>
            </w:r>
          </w:p>
        </w:tc>
        <w:tc>
          <w:tcPr>
            <w:tcW w:w="13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54,334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24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208,631</w:t>
            </w:r>
          </w:p>
        </w:tc>
        <w:tc>
          <w:tcPr>
            <w:tcW w:w="4260" w:type="dxa"/>
            <w:vAlign w:val="bottom"/>
            <w:gridSpan w:val="5"/>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Long-term lease obligations</w:t>
            </w:r>
          </w:p>
        </w:tc>
        <w:tc>
          <w:tcPr>
            <w:tcW w:w="13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Intangible leased assets</w:t>
            </w:r>
          </w:p>
        </w:tc>
        <w:tc>
          <w:tcPr>
            <w:tcW w:w="240" w:type="dxa"/>
            <w:vAlign w:val="bottom"/>
          </w:tcPr>
          <w:p>
            <w:pPr>
              <w:spacing w:after="0"/>
              <w:rPr>
                <w:sz w:val="18"/>
                <w:szCs w:val="18"/>
                <w:color w:val="auto"/>
              </w:rPr>
            </w:pPr>
          </w:p>
        </w:tc>
        <w:tc>
          <w:tcPr>
            <w:tcW w:w="10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3,813</w:t>
            </w:r>
          </w:p>
        </w:tc>
        <w:tc>
          <w:tcPr>
            <w:tcW w:w="42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Provision for retirement benefits</w:t>
            </w:r>
          </w:p>
        </w:tc>
        <w:tc>
          <w:tcPr>
            <w:tcW w:w="13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45,763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w:t>
            </w:r>
          </w:p>
        </w:tc>
        <w:tc>
          <w:tcPr>
            <w:tcW w:w="24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204,818</w:t>
            </w:r>
          </w:p>
        </w:tc>
        <w:tc>
          <w:tcPr>
            <w:tcW w:w="4260" w:type="dxa"/>
            <w:vAlign w:val="bottom"/>
            <w:gridSpan w:val="5"/>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Asset retirement obligations</w:t>
            </w:r>
          </w:p>
        </w:tc>
        <w:tc>
          <w:tcPr>
            <w:tcW w:w="13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75,359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4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Investments and other assets</w:t>
            </w:r>
          </w:p>
        </w:tc>
        <w:tc>
          <w:tcPr>
            <w:tcW w:w="240" w:type="dxa"/>
            <w:vAlign w:val="bottom"/>
            <w:tcBorders>
              <w:bottom w:val="single" w:sz="8" w:color="CCEEFF"/>
            </w:tcBorders>
          </w:tcPr>
          <w:p>
            <w:pPr>
              <w:spacing w:after="0"/>
              <w:rPr>
                <w:sz w:val="20"/>
                <w:szCs w:val="20"/>
                <w:color w:val="auto"/>
              </w:rPr>
            </w:pPr>
          </w:p>
        </w:tc>
        <w:tc>
          <w:tcPr>
            <w:tcW w:w="1020" w:type="dxa"/>
            <w:vAlign w:val="bottom"/>
            <w:tcBorders>
              <w:bottom w:val="single" w:sz="8" w:color="CCEEFF"/>
            </w:tcBorders>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9,458,894</w:t>
            </w:r>
          </w:p>
        </w:tc>
        <w:tc>
          <w:tcPr>
            <w:tcW w:w="4260" w:type="dxa"/>
            <w:vAlign w:val="bottom"/>
            <w:tcBorders>
              <w:bottom w:val="single" w:sz="8" w:color="CCEEFF"/>
            </w:tcBorders>
            <w:gridSpan w:val="5"/>
          </w:tcPr>
          <w:p>
            <w:pPr>
              <w:ind w:left="1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446,593</w:t>
            </w:r>
          </w:p>
        </w:tc>
        <w:tc>
          <w:tcPr>
            <w:tcW w:w="100" w:type="dxa"/>
            <w:vAlign w:val="bottom"/>
            <w:tcBorders>
              <w:bottom w:val="single" w:sz="8" w:color="CCEEFF"/>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w:t>
            </w:r>
          </w:p>
        </w:tc>
        <w:tc>
          <w:tcPr>
            <w:tcW w:w="240" w:type="dxa"/>
            <w:vAlign w:val="bottom"/>
            <w:shd w:val="clear" w:color="auto" w:fill="CCEEFF"/>
          </w:tcPr>
          <w:p>
            <w:pPr>
              <w:spacing w:after="0"/>
              <w:rPr>
                <w:sz w:val="21"/>
                <w:szCs w:val="21"/>
                <w:color w:val="auto"/>
              </w:rPr>
            </w:pPr>
          </w:p>
        </w:tc>
        <w:tc>
          <w:tcPr>
            <w:tcW w:w="10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2,010</w:t>
            </w:r>
          </w:p>
        </w:tc>
        <w:tc>
          <w:tcPr>
            <w:tcW w:w="120" w:type="dxa"/>
            <w:vAlign w:val="bottom"/>
            <w:shd w:val="clear" w:color="auto" w:fill="CCEEFF"/>
          </w:tcPr>
          <w:p>
            <w:pPr>
              <w:spacing w:after="0"/>
              <w:rPr>
                <w:sz w:val="21"/>
                <w:szCs w:val="21"/>
                <w:color w:val="auto"/>
              </w:rPr>
            </w:pPr>
          </w:p>
        </w:tc>
        <w:tc>
          <w:tcPr>
            <w:tcW w:w="414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3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25,008,379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Deposit</w:t>
            </w:r>
          </w:p>
        </w:tc>
        <w:tc>
          <w:tcPr>
            <w:tcW w:w="2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CCEEFF"/>
            </w:tcBorders>
            <w:gridSpan w:val="4"/>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120,022</w:t>
            </w:r>
          </w:p>
        </w:tc>
        <w:tc>
          <w:tcPr>
            <w:tcW w:w="4260" w:type="dxa"/>
            <w:vAlign w:val="bottom"/>
            <w:tcBorders>
              <w:top w:val="single" w:sz="8" w:color="CCEEFF"/>
              <w:bottom w:val="single" w:sz="8" w:color="CCEEFF"/>
            </w:tcBorders>
            <w:gridSpan w:val="5"/>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440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4"/>
            <w:vMerge w:val="continue"/>
          </w:tcPr>
          <w:p>
            <w:pPr>
              <w:spacing w:after="0"/>
              <w:rPr>
                <w:sz w:val="18"/>
                <w:szCs w:val="18"/>
                <w:color w:val="auto"/>
              </w:rPr>
            </w:pPr>
          </w:p>
        </w:tc>
        <w:tc>
          <w:tcPr>
            <w:tcW w:w="4260" w:type="dxa"/>
            <w:vAlign w:val="bottom"/>
            <w:gridSpan w:val="5"/>
            <w:vMerge w:val="continue"/>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w:t>
            </w:r>
          </w:p>
        </w:tc>
        <w:tc>
          <w:tcPr>
            <w:tcW w:w="240" w:type="dxa"/>
            <w:vAlign w:val="bottom"/>
            <w:shd w:val="clear" w:color="auto" w:fill="CCEEFF"/>
          </w:tcPr>
          <w:p>
            <w:pPr>
              <w:spacing w:after="0"/>
              <w:rPr>
                <w:sz w:val="21"/>
                <w:szCs w:val="21"/>
                <w:color w:val="auto"/>
              </w:rPr>
            </w:pPr>
          </w:p>
        </w:tc>
        <w:tc>
          <w:tcPr>
            <w:tcW w:w="10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104,048</w:t>
            </w:r>
          </w:p>
        </w:tc>
        <w:tc>
          <w:tcPr>
            <w:tcW w:w="4260" w:type="dxa"/>
            <w:vAlign w:val="bottom"/>
            <w:gridSpan w:val="5"/>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w:t>
            </w: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Amount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4400" w:type="dxa"/>
            <w:vAlign w:val="bottom"/>
            <w:tcBorders>
              <w:top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Insurance reserve fund</w:t>
            </w:r>
          </w:p>
        </w:tc>
        <w:tc>
          <w:tcPr>
            <w:tcW w:w="24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gridSpan w:val="4"/>
          </w:tcPr>
          <w:p>
            <w:pPr>
              <w:jc w:val="right"/>
              <w:ind w:right="100"/>
              <w:spacing w:after="0" w:line="203" w:lineRule="exact"/>
              <w:rPr>
                <w:sz w:val="20"/>
                <w:szCs w:val="20"/>
                <w:color w:val="auto"/>
              </w:rPr>
            </w:pPr>
            <w:r>
              <w:rPr>
                <w:rFonts w:ascii="Times New Roman" w:cs="Times New Roman" w:eastAsia="Times New Roman" w:hAnsi="Times New Roman"/>
                <w:sz w:val="18"/>
                <w:szCs w:val="18"/>
                <w:color w:val="auto"/>
              </w:rPr>
              <w:t>27,342</w:t>
            </w:r>
          </w:p>
        </w:tc>
        <w:tc>
          <w:tcPr>
            <w:tcW w:w="120" w:type="dxa"/>
            <w:vAlign w:val="bottom"/>
            <w:tcBorders>
              <w:top w:val="single" w:sz="8" w:color="CCEEFF"/>
            </w:tcBorders>
          </w:tcPr>
          <w:p>
            <w:pPr>
              <w:spacing w:after="0"/>
              <w:rPr>
                <w:sz w:val="17"/>
                <w:szCs w:val="17"/>
                <w:color w:val="auto"/>
              </w:rPr>
            </w:pPr>
          </w:p>
        </w:tc>
        <w:tc>
          <w:tcPr>
            <w:tcW w:w="4140" w:type="dxa"/>
            <w:vAlign w:val="bottom"/>
            <w:tcBorders>
              <w:top w:val="single" w:sz="8" w:color="auto"/>
            </w:tcBorders>
            <w:gridSpan w:val="4"/>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Shareholders’ Equity</w:t>
            </w:r>
          </w:p>
        </w:tc>
        <w:tc>
          <w:tcPr>
            <w:tcW w:w="10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5,575,305</w:t>
            </w:r>
          </w:p>
        </w:tc>
        <w:tc>
          <w:tcPr>
            <w:tcW w:w="100" w:type="dxa"/>
            <w:vAlign w:val="bottom"/>
            <w:tcBorders>
              <w:top w:val="single" w:sz="8" w:color="CCEEFF"/>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Recycling deposits</w:t>
            </w:r>
          </w:p>
        </w:tc>
        <w:tc>
          <w:tcPr>
            <w:tcW w:w="24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c>
          <w:tcPr>
            <w:tcW w:w="4260" w:type="dxa"/>
            <w:vAlign w:val="bottom"/>
            <w:gridSpan w:val="5"/>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Paid-in capital</w:t>
            </w:r>
          </w:p>
        </w:tc>
        <w:tc>
          <w:tcPr>
            <w:tcW w:w="13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upfront costs</w:t>
            </w:r>
          </w:p>
        </w:tc>
        <w:tc>
          <w:tcPr>
            <w:tcW w:w="240" w:type="dxa"/>
            <w:vAlign w:val="bottom"/>
          </w:tcPr>
          <w:p>
            <w:pPr>
              <w:spacing w:after="0"/>
              <w:rPr>
                <w:sz w:val="18"/>
                <w:szCs w:val="18"/>
                <w:color w:val="auto"/>
              </w:rPr>
            </w:pPr>
          </w:p>
        </w:tc>
        <w:tc>
          <w:tcPr>
            <w:tcW w:w="10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1,804</w:t>
            </w:r>
          </w:p>
        </w:tc>
        <w:tc>
          <w:tcPr>
            <w:tcW w:w="42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Capital surplus</w:t>
            </w:r>
          </w:p>
        </w:tc>
        <w:tc>
          <w:tcPr>
            <w:tcW w:w="13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3,655,033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unearned income</w:t>
            </w:r>
          </w:p>
        </w:tc>
        <w:tc>
          <w:tcPr>
            <w:tcW w:w="24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1,622,183</w:t>
            </w:r>
          </w:p>
        </w:tc>
        <w:tc>
          <w:tcPr>
            <w:tcW w:w="120" w:type="dxa"/>
            <w:vAlign w:val="bottom"/>
            <w:shd w:val="clear" w:color="auto" w:fill="CCEEFF"/>
          </w:tcPr>
          <w:p>
            <w:pPr>
              <w:spacing w:after="0"/>
              <w:rPr>
                <w:sz w:val="18"/>
                <w:szCs w:val="18"/>
                <w:color w:val="auto"/>
              </w:rPr>
            </w:pPr>
          </w:p>
        </w:tc>
        <w:tc>
          <w:tcPr>
            <w:tcW w:w="414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Capital reserve</w:t>
            </w:r>
          </w:p>
        </w:tc>
        <w:tc>
          <w:tcPr>
            <w:tcW w:w="13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3,655,033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 of affiliated companies</w:t>
            </w:r>
          </w:p>
        </w:tc>
        <w:tc>
          <w:tcPr>
            <w:tcW w:w="240" w:type="dxa"/>
            <w:vAlign w:val="bottom"/>
          </w:tcPr>
          <w:p>
            <w:pPr>
              <w:spacing w:after="0"/>
              <w:rPr>
                <w:sz w:val="18"/>
                <w:szCs w:val="18"/>
                <w:color w:val="auto"/>
              </w:rPr>
            </w:pPr>
          </w:p>
        </w:tc>
        <w:tc>
          <w:tcPr>
            <w:tcW w:w="10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682,673</w:t>
            </w:r>
          </w:p>
        </w:tc>
        <w:tc>
          <w:tcPr>
            <w:tcW w:w="42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Retained earnings</w:t>
            </w:r>
          </w:p>
        </w:tc>
        <w:tc>
          <w:tcPr>
            <w:tcW w:w="13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9,458,894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accounts receivable</w:t>
            </w:r>
          </w:p>
        </w:tc>
        <w:tc>
          <w:tcPr>
            <w:tcW w:w="24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6,984,870</w:t>
            </w:r>
          </w:p>
        </w:tc>
        <w:tc>
          <w:tcPr>
            <w:tcW w:w="4260" w:type="dxa"/>
            <w:vAlign w:val="bottom"/>
            <w:gridSpan w:val="5"/>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retained earnings</w:t>
            </w:r>
          </w:p>
        </w:tc>
        <w:tc>
          <w:tcPr>
            <w:tcW w:w="13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1,910,271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Allowance for bad debts</w:t>
            </w:r>
          </w:p>
        </w:tc>
        <w:tc>
          <w:tcPr>
            <w:tcW w:w="24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10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86,070</w:t>
            </w:r>
          </w:p>
        </w:tc>
        <w:tc>
          <w:tcPr>
            <w:tcW w:w="42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Retained earnings carried forward</w:t>
            </w:r>
          </w:p>
        </w:tc>
        <w:tc>
          <w:tcPr>
            <w:tcW w:w="13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1,910,271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Assets</w:t>
            </w:r>
          </w:p>
        </w:tc>
        <w:tc>
          <w:tcPr>
            <w:tcW w:w="24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12,808</w:t>
            </w:r>
          </w:p>
        </w:tc>
        <w:tc>
          <w:tcPr>
            <w:tcW w:w="4260" w:type="dxa"/>
            <w:vAlign w:val="bottom"/>
            <w:gridSpan w:val="5"/>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Stock Acquisition Rights</w:t>
            </w:r>
          </w:p>
        </w:tc>
        <w:tc>
          <w:tcPr>
            <w:tcW w:w="13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4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Share grant costs</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12,808</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4140" w:type="dxa"/>
            <w:vAlign w:val="bottom"/>
            <w:tcBorders>
              <w:bottom w:val="single" w:sz="8" w:color="CCEEFF"/>
            </w:tcBorders>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1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5,575,316</w:t>
            </w:r>
          </w:p>
        </w:tc>
        <w:tc>
          <w:tcPr>
            <w:tcW w:w="100" w:type="dxa"/>
            <w:vAlign w:val="bottom"/>
            <w:tcBorders>
              <w:bottom w:val="single" w:sz="8" w:color="CCEEFF"/>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40" w:type="dxa"/>
            <w:vAlign w:val="bottom"/>
            <w:shd w:val="clear" w:color="auto" w:fill="CCEEFF"/>
          </w:tcPr>
          <w:p>
            <w:pPr>
              <w:spacing w:after="0"/>
              <w:rPr>
                <w:sz w:val="21"/>
                <w:szCs w:val="21"/>
                <w:color w:val="auto"/>
              </w:rPr>
            </w:pPr>
          </w:p>
        </w:tc>
        <w:tc>
          <w:tcPr>
            <w:tcW w:w="10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30,583,696</w:t>
            </w:r>
          </w:p>
        </w:tc>
        <w:tc>
          <w:tcPr>
            <w:tcW w:w="120" w:type="dxa"/>
            <w:vAlign w:val="bottom"/>
            <w:shd w:val="clear" w:color="auto" w:fill="CCEEFF"/>
          </w:tcPr>
          <w:p>
            <w:pPr>
              <w:spacing w:after="0"/>
              <w:rPr>
                <w:sz w:val="21"/>
                <w:szCs w:val="21"/>
                <w:color w:val="auto"/>
              </w:rPr>
            </w:pPr>
          </w:p>
        </w:tc>
        <w:tc>
          <w:tcPr>
            <w:tcW w:w="414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13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30,583,696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07"/>
        </w:trPr>
        <w:tc>
          <w:tcPr>
            <w:tcW w:w="4840" w:type="dxa"/>
            <w:vAlign w:val="bottom"/>
          </w:tcPr>
          <w:p>
            <w:pPr>
              <w:spacing w:after="0"/>
              <w:rPr>
                <w:sz w:val="17"/>
                <w:szCs w:val="17"/>
                <w:color w:val="auto"/>
              </w:rPr>
            </w:pPr>
          </w:p>
        </w:tc>
        <w:tc>
          <w:tcPr>
            <w:tcW w:w="5440" w:type="dxa"/>
            <w:vAlign w:val="bottom"/>
            <w:gridSpan w:val="6"/>
          </w:tcPr>
          <w:p>
            <w:pPr>
              <w:jc w:val="center"/>
              <w:ind w:right="3790"/>
              <w:spacing w:after="0"/>
              <w:rPr>
                <w:sz w:val="20"/>
                <w:szCs w:val="20"/>
                <w:color w:val="auto"/>
              </w:rPr>
            </w:pPr>
            <w:r>
              <w:rPr>
                <w:rFonts w:ascii="Times New Roman" w:cs="Times New Roman" w:eastAsia="Times New Roman" w:hAnsi="Times New Roman"/>
                <w:sz w:val="18"/>
                <w:szCs w:val="18"/>
                <w:b w:val="1"/>
                <w:bCs w:val="1"/>
                <w:color w:val="auto"/>
                <w:w w:val="99"/>
              </w:rPr>
              <w:t>Statement of income</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484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3880" w:type="dxa"/>
            <w:vAlign w:val="bottom"/>
            <w:gridSpan w:val="5"/>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4"/>
        </w:trPr>
        <w:tc>
          <w:tcPr>
            <w:tcW w:w="4840" w:type="dxa"/>
            <w:vAlign w:val="bottom"/>
          </w:tcPr>
          <w:p>
            <w:pPr>
              <w:spacing w:after="0"/>
              <w:rPr>
                <w:sz w:val="24"/>
                <w:szCs w:val="24"/>
                <w:color w:val="auto"/>
              </w:rPr>
            </w:pPr>
          </w:p>
        </w:tc>
        <w:tc>
          <w:tcPr>
            <w:tcW w:w="5440" w:type="dxa"/>
            <w:vAlign w:val="bottom"/>
            <w:gridSpan w:val="6"/>
          </w:tcPr>
          <w:p>
            <w:pPr>
              <w:jc w:val="center"/>
              <w:ind w:right="3790"/>
              <w:spacing w:after="0"/>
              <w:rPr>
                <w:sz w:val="20"/>
                <w:szCs w:val="20"/>
                <w:color w:val="auto"/>
              </w:rPr>
            </w:pPr>
            <w:r>
              <w:rPr>
                <w:rFonts w:ascii="Times New Roman" w:cs="Times New Roman" w:eastAsia="Times New Roman" w:hAnsi="Times New Roman"/>
                <w:sz w:val="18"/>
                <w:szCs w:val="18"/>
                <w:color w:val="auto"/>
                <w:w w:val="99"/>
              </w:rPr>
              <w:t>From April 1, 2025</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4840" w:type="dxa"/>
            <w:vAlign w:val="bottom"/>
          </w:tcPr>
          <w:p>
            <w:pPr>
              <w:spacing w:after="0"/>
              <w:rPr>
                <w:sz w:val="20"/>
                <w:szCs w:val="20"/>
                <w:color w:val="auto"/>
              </w:rPr>
            </w:pPr>
          </w:p>
        </w:tc>
        <w:tc>
          <w:tcPr>
            <w:tcW w:w="5440" w:type="dxa"/>
            <w:vAlign w:val="bottom"/>
            <w:gridSpan w:val="6"/>
          </w:tcPr>
          <w:p>
            <w:pPr>
              <w:jc w:val="center"/>
              <w:ind w:right="3770"/>
              <w:spacing w:after="0"/>
              <w:rPr>
                <w:sz w:val="20"/>
                <w:szCs w:val="20"/>
                <w:color w:val="auto"/>
              </w:rPr>
            </w:pPr>
            <w:r>
              <w:rPr>
                <w:rFonts w:ascii="Times New Roman" w:cs="Times New Roman" w:eastAsia="Times New Roman" w:hAnsi="Times New Roman"/>
                <w:sz w:val="18"/>
                <w:szCs w:val="18"/>
                <w:color w:val="auto"/>
                <w:w w:val="99"/>
              </w:rPr>
              <w:t>To March 31, 2026</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7"/>
        </w:trPr>
        <w:tc>
          <w:tcPr>
            <w:tcW w:w="48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6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w w:val="97"/>
              </w:rPr>
              <w:t>(Unit: 1,000 yen)</w:t>
            </w:r>
          </w:p>
        </w:tc>
      </w:tr>
      <w:tr>
        <w:trPr>
          <w:trHeight w:val="241"/>
        </w:trPr>
        <w:tc>
          <w:tcPr>
            <w:tcW w:w="4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Accounts</w:t>
            </w:r>
          </w:p>
        </w:tc>
        <w:tc>
          <w:tcPr>
            <w:tcW w:w="156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600" w:type="dxa"/>
            <w:vAlign w:val="bottom"/>
            <w:tcBorders>
              <w:bottom w:val="single" w:sz="8" w:color="auto"/>
            </w:tcBorders>
            <w:gridSpan w:val="3"/>
          </w:tcPr>
          <w:p>
            <w:pPr>
              <w:ind w:left="980"/>
              <w:spacing w:after="0"/>
              <w:rPr>
                <w:sz w:val="20"/>
                <w:szCs w:val="20"/>
                <w:color w:val="auto"/>
              </w:rPr>
            </w:pPr>
            <w:r>
              <w:rPr>
                <w:rFonts w:ascii="Times New Roman" w:cs="Times New Roman" w:eastAsia="Times New Roman" w:hAnsi="Times New Roman"/>
                <w:sz w:val="18"/>
                <w:szCs w:val="18"/>
                <w:color w:val="auto"/>
              </w:rPr>
              <w:t>Amount</w:t>
            </w:r>
          </w:p>
        </w:tc>
        <w:tc>
          <w:tcPr>
            <w:tcW w:w="8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Sales</w:t>
            </w:r>
          </w:p>
        </w:tc>
        <w:tc>
          <w:tcPr>
            <w:tcW w:w="156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38,783,862</w:t>
            </w:r>
          </w:p>
        </w:tc>
      </w:tr>
      <w:tr>
        <w:trPr>
          <w:trHeight w:val="237"/>
        </w:trPr>
        <w:tc>
          <w:tcPr>
            <w:tcW w:w="4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 of Goods Sold</w:t>
            </w:r>
          </w:p>
        </w:tc>
        <w:tc>
          <w:tcPr>
            <w:tcW w:w="156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36,161,287</w:t>
            </w:r>
          </w:p>
        </w:tc>
      </w:tr>
      <w:tr>
        <w:trPr>
          <w:trHeight w:val="216"/>
        </w:trPr>
        <w:tc>
          <w:tcPr>
            <w:tcW w:w="484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56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2,622,575</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4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tc>
        <w:tc>
          <w:tcPr>
            <w:tcW w:w="156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2,313,464</w:t>
            </w:r>
          </w:p>
        </w:tc>
      </w:tr>
      <w:tr>
        <w:trPr>
          <w:trHeight w:val="216"/>
        </w:trPr>
        <w:tc>
          <w:tcPr>
            <w:tcW w:w="484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Operating Profit</w:t>
            </w:r>
          </w:p>
        </w:tc>
        <w:tc>
          <w:tcPr>
            <w:tcW w:w="156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309,111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Non-Operating Income</w:t>
            </w:r>
          </w:p>
        </w:tc>
        <w:tc>
          <w:tcPr>
            <w:tcW w:w="15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 and dividends</w:t>
            </w:r>
          </w:p>
        </w:tc>
        <w:tc>
          <w:tcPr>
            <w:tcW w:w="5160" w:type="dxa"/>
            <w:vAlign w:val="bottom"/>
            <w:gridSpan w:val="5"/>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7,717</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exchange gain</w:t>
            </w:r>
          </w:p>
        </w:tc>
        <w:tc>
          <w:tcPr>
            <w:tcW w:w="5160" w:type="dxa"/>
            <w:vAlign w:val="bottom"/>
            <w:gridSpan w:val="5"/>
          </w:tcPr>
          <w:p>
            <w:pPr>
              <w:jc w:val="right"/>
              <w:ind w:right="130"/>
              <w:spacing w:after="0"/>
              <w:rPr>
                <w:sz w:val="20"/>
                <w:szCs w:val="20"/>
                <w:color w:val="auto"/>
              </w:rPr>
            </w:pPr>
            <w:r>
              <w:rPr>
                <w:rFonts w:ascii="Times New Roman" w:cs="Times New Roman" w:eastAsia="Times New Roman" w:hAnsi="Times New Roman"/>
                <w:sz w:val="18"/>
                <w:szCs w:val="18"/>
                <w:color w:val="auto"/>
              </w:rPr>
              <w:t>26</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9"/>
        </w:trPr>
        <w:tc>
          <w:tcPr>
            <w:tcW w:w="4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Miscellaneous income</w:t>
            </w:r>
          </w:p>
        </w:tc>
        <w:tc>
          <w:tcPr>
            <w:tcW w:w="5160" w:type="dxa"/>
            <w:vAlign w:val="bottom"/>
            <w:gridSpan w:val="5"/>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104,921</w:t>
            </w:r>
          </w:p>
        </w:tc>
        <w:tc>
          <w:tcPr>
            <w:tcW w:w="2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112,665</w:t>
            </w:r>
          </w:p>
        </w:tc>
      </w:tr>
      <w:tr>
        <w:trPr>
          <w:trHeight w:val="203"/>
        </w:trPr>
        <w:tc>
          <w:tcPr>
            <w:tcW w:w="484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Non-Operating Expenses</w:t>
            </w:r>
          </w:p>
        </w:tc>
        <w:tc>
          <w:tcPr>
            <w:tcW w:w="1560" w:type="dxa"/>
            <w:vAlign w:val="bottom"/>
            <w:tcBorders>
              <w:top w:val="single" w:sz="8" w:color="CCEEFF"/>
            </w:tcBorders>
          </w:tcPr>
          <w:p>
            <w:pPr>
              <w:spacing w:after="0"/>
              <w:rPr>
                <w:sz w:val="17"/>
                <w:szCs w:val="17"/>
                <w:color w:val="auto"/>
              </w:rPr>
            </w:pPr>
          </w:p>
        </w:tc>
        <w:tc>
          <w:tcPr>
            <w:tcW w:w="21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8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4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5160" w:type="dxa"/>
            <w:vAlign w:val="bottom"/>
            <w:gridSpan w:val="5"/>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177,711</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asset amortization</w:t>
            </w:r>
          </w:p>
        </w:tc>
        <w:tc>
          <w:tcPr>
            <w:tcW w:w="5160" w:type="dxa"/>
            <w:vAlign w:val="bottom"/>
            <w:gridSpan w:val="5"/>
          </w:tcPr>
          <w:p>
            <w:pPr>
              <w:jc w:val="right"/>
              <w:ind w:right="130"/>
              <w:spacing w:after="0"/>
              <w:rPr>
                <w:sz w:val="20"/>
                <w:szCs w:val="20"/>
                <w:color w:val="auto"/>
              </w:rPr>
            </w:pPr>
            <w:r>
              <w:rPr>
                <w:rFonts w:ascii="Times New Roman" w:cs="Times New Roman" w:eastAsia="Times New Roman" w:hAnsi="Times New Roman"/>
                <w:sz w:val="18"/>
                <w:szCs w:val="18"/>
                <w:color w:val="auto"/>
              </w:rPr>
              <w:t>15,369</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Loan fees</w:t>
            </w:r>
          </w:p>
        </w:tc>
        <w:tc>
          <w:tcPr>
            <w:tcW w:w="5160" w:type="dxa"/>
            <w:vAlign w:val="bottom"/>
            <w:gridSpan w:val="5"/>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29,928</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4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Miscellaneous loss</w:t>
            </w:r>
          </w:p>
        </w:tc>
        <w:tc>
          <w:tcPr>
            <w:tcW w:w="5160" w:type="dxa"/>
            <w:vAlign w:val="bottom"/>
            <w:gridSpan w:val="5"/>
          </w:tcPr>
          <w:p>
            <w:pPr>
              <w:jc w:val="right"/>
              <w:ind w:right="130"/>
              <w:spacing w:after="0"/>
              <w:rPr>
                <w:sz w:val="20"/>
                <w:szCs w:val="20"/>
                <w:color w:val="auto"/>
              </w:rPr>
            </w:pPr>
            <w:r>
              <w:rPr>
                <w:rFonts w:ascii="Times New Roman" w:cs="Times New Roman" w:eastAsia="Times New Roman" w:hAnsi="Times New Roman"/>
                <w:sz w:val="18"/>
                <w:szCs w:val="18"/>
                <w:color w:val="auto"/>
              </w:rPr>
              <w:t>5,446</w:t>
            </w:r>
          </w:p>
        </w:tc>
        <w:tc>
          <w:tcPr>
            <w:tcW w:w="28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228,456</w:t>
            </w:r>
          </w:p>
        </w:tc>
      </w:tr>
      <w:tr>
        <w:trPr>
          <w:trHeight w:val="216"/>
        </w:trPr>
        <w:tc>
          <w:tcPr>
            <w:tcW w:w="484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Ordinary Income</w:t>
            </w:r>
          </w:p>
        </w:tc>
        <w:tc>
          <w:tcPr>
            <w:tcW w:w="156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193,321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Extraordinary Profits</w:t>
            </w:r>
          </w:p>
        </w:tc>
        <w:tc>
          <w:tcPr>
            <w:tcW w:w="15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4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sale of fixed assets</w:t>
            </w:r>
          </w:p>
        </w:tc>
        <w:tc>
          <w:tcPr>
            <w:tcW w:w="5160" w:type="dxa"/>
            <w:vAlign w:val="bottom"/>
            <w:gridSpan w:val="5"/>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378,569</w:t>
            </w:r>
          </w:p>
        </w:tc>
        <w:tc>
          <w:tcPr>
            <w:tcW w:w="2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378,569</w:t>
            </w:r>
          </w:p>
        </w:tc>
      </w:tr>
      <w:tr>
        <w:trPr>
          <w:trHeight w:val="203"/>
        </w:trPr>
        <w:tc>
          <w:tcPr>
            <w:tcW w:w="484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Extraordinary Losses</w:t>
            </w:r>
          </w:p>
        </w:tc>
        <w:tc>
          <w:tcPr>
            <w:tcW w:w="1560" w:type="dxa"/>
            <w:vAlign w:val="bottom"/>
            <w:tcBorders>
              <w:top w:val="single" w:sz="8" w:color="CCEEFF"/>
            </w:tcBorders>
          </w:tcPr>
          <w:p>
            <w:pPr>
              <w:spacing w:after="0"/>
              <w:rPr>
                <w:sz w:val="17"/>
                <w:szCs w:val="17"/>
                <w:color w:val="auto"/>
              </w:rPr>
            </w:pPr>
          </w:p>
        </w:tc>
        <w:tc>
          <w:tcPr>
            <w:tcW w:w="21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8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4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cancellation of lease</w:t>
            </w:r>
          </w:p>
        </w:tc>
        <w:tc>
          <w:tcPr>
            <w:tcW w:w="5160" w:type="dxa"/>
            <w:vAlign w:val="bottom"/>
            <w:gridSpan w:val="5"/>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5,582</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6"/>
        </w:trPr>
        <w:tc>
          <w:tcPr>
            <w:tcW w:w="4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Consumption taxes for prior periods</w:t>
            </w:r>
          </w:p>
        </w:tc>
        <w:tc>
          <w:tcPr>
            <w:tcW w:w="5160" w:type="dxa"/>
            <w:vAlign w:val="bottom"/>
            <w:gridSpan w:val="5"/>
          </w:tcPr>
          <w:p>
            <w:pPr>
              <w:jc w:val="right"/>
              <w:ind w:right="130"/>
              <w:spacing w:after="0"/>
              <w:rPr>
                <w:sz w:val="20"/>
                <w:szCs w:val="20"/>
                <w:color w:val="auto"/>
              </w:rPr>
            </w:pPr>
            <w:r>
              <w:rPr>
                <w:rFonts w:ascii="Times New Roman" w:cs="Times New Roman" w:eastAsia="Times New Roman" w:hAnsi="Times New Roman"/>
                <w:sz w:val="18"/>
                <w:szCs w:val="18"/>
                <w:color w:val="auto"/>
              </w:rPr>
              <w:t>378,873</w:t>
            </w:r>
          </w:p>
        </w:tc>
        <w:tc>
          <w:tcPr>
            <w:tcW w:w="28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384,456</w:t>
            </w:r>
          </w:p>
        </w:tc>
      </w:tr>
      <w:tr>
        <w:trPr>
          <w:trHeight w:val="216"/>
        </w:trPr>
        <w:tc>
          <w:tcPr>
            <w:tcW w:w="4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before income taxes</w:t>
            </w:r>
          </w:p>
        </w:tc>
        <w:tc>
          <w:tcPr>
            <w:tcW w:w="156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187,434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tax, resident tax and business tax</w:t>
            </w:r>
          </w:p>
        </w:tc>
        <w:tc>
          <w:tcPr>
            <w:tcW w:w="15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219,353</w:t>
            </w:r>
          </w:p>
        </w:tc>
      </w:tr>
      <w:tr>
        <w:trPr>
          <w:trHeight w:val="250"/>
        </w:trPr>
        <w:tc>
          <w:tcPr>
            <w:tcW w:w="4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 of corporate income taxes</w:t>
            </w:r>
          </w:p>
        </w:tc>
        <w:tc>
          <w:tcPr>
            <w:tcW w:w="1560" w:type="dxa"/>
            <w:vAlign w:val="bottom"/>
            <w:shd w:val="clear" w:color="auto" w:fill="CCEEFF"/>
          </w:tcPr>
          <w:p>
            <w:pPr>
              <w:spacing w:after="0"/>
              <w:rPr>
                <w:sz w:val="21"/>
                <w:szCs w:val="21"/>
                <w:color w:val="auto"/>
              </w:rPr>
            </w:pPr>
          </w:p>
        </w:tc>
        <w:tc>
          <w:tcPr>
            <w:tcW w:w="2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line="181" w:lineRule="exact"/>
              <w:rPr>
                <w:sz w:val="20"/>
                <w:szCs w:val="20"/>
                <w:color w:val="auto"/>
              </w:rPr>
            </w:pPr>
            <w:r>
              <w:rPr>
                <w:rFonts w:ascii="MS PGothic" w:cs="MS PGothic" w:eastAsia="MS PGothic" w:hAnsi="MS PGothic"/>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71,579</w:t>
            </w:r>
          </w:p>
        </w:tc>
      </w:tr>
      <w:tr>
        <w:trPr>
          <w:trHeight w:val="225"/>
        </w:trPr>
        <w:tc>
          <w:tcPr>
            <w:tcW w:w="48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560" w:type="dxa"/>
            <w:vAlign w:val="bottom"/>
            <w:tcBorders>
              <w:top w:val="single" w:sz="8" w:color="CCEEFF"/>
            </w:tcBorders>
          </w:tcPr>
          <w:p>
            <w:pPr>
              <w:spacing w:after="0"/>
              <w:rPr>
                <w:sz w:val="19"/>
                <w:szCs w:val="19"/>
                <w:color w:val="auto"/>
              </w:rPr>
            </w:pPr>
          </w:p>
        </w:tc>
        <w:tc>
          <w:tcPr>
            <w:tcW w:w="216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39,659</w:t>
            </w:r>
          </w:p>
        </w:tc>
        <w:tc>
          <w:tcPr>
            <w:tcW w:w="100" w:type="dxa"/>
            <w:vAlign w:val="bottom"/>
            <w:tcBorders>
              <w:top w:val="single" w:sz="8" w:color="CCEEFF"/>
            </w:tcBorders>
          </w:tcPr>
          <w:p>
            <w:pPr>
              <w:spacing w:after="0"/>
              <w:rPr>
                <w:sz w:val="19"/>
                <w:szCs w:val="19"/>
                <w:color w:val="auto"/>
              </w:rPr>
            </w:pPr>
          </w:p>
        </w:tc>
      </w:tr>
      <w:tr>
        <w:trPr>
          <w:trHeight w:val="633"/>
        </w:trPr>
        <w:tc>
          <w:tcPr>
            <w:tcW w:w="48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- 16 -</w:t>
            </w:r>
          </w:p>
        </w:tc>
        <w:tc>
          <w:tcPr>
            <w:tcW w:w="2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1" w:right="339" w:bottom="1440" w:gutter="0" w:footer="0" w:header="0"/>
        </w:sectPr>
      </w:pPr>
    </w:p>
    <w:bookmarkStart w:id="20" w:name="page21"/>
    <w:bookmarkEnd w:id="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80" w:type="dxa"/>
            <w:vAlign w:val="bottom"/>
            <w:gridSpan w:val="12"/>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w w:val="99"/>
              </w:rPr>
              <w:t>Statement of Changes in net assets</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140" w:type="dxa"/>
            <w:vAlign w:val="bottom"/>
            <w:tcBorders>
              <w:top w:val="single" w:sz="8" w:color="auto"/>
              <w:bottom w:val="single" w:sz="8" w:color="auto"/>
            </w:tcBorders>
            <w:gridSpan w:val="6"/>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2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40" w:type="dxa"/>
            <w:vAlign w:val="bottom"/>
            <w:gridSpan w:val="6"/>
          </w:tcPr>
          <w:p>
            <w:pPr>
              <w:jc w:val="center"/>
              <w:ind w:left="10"/>
              <w:spacing w:after="0"/>
              <w:rPr>
                <w:sz w:val="20"/>
                <w:szCs w:val="20"/>
                <w:color w:val="auto"/>
              </w:rPr>
            </w:pPr>
            <w:r>
              <w:rPr>
                <w:rFonts w:ascii="Times New Roman" w:cs="Times New Roman" w:eastAsia="Times New Roman" w:hAnsi="Times New Roman"/>
                <w:sz w:val="18"/>
                <w:szCs w:val="18"/>
                <w:color w:val="auto"/>
                <w:w w:val="99"/>
              </w:rPr>
              <w:t>From April 1, 2025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40" w:type="dxa"/>
            <w:vAlign w:val="bottom"/>
            <w:gridSpan w:val="6"/>
          </w:tcPr>
          <w:p>
            <w:pPr>
              <w:jc w:val="center"/>
              <w:ind w:left="30"/>
              <w:spacing w:after="0"/>
              <w:rPr>
                <w:sz w:val="20"/>
                <w:szCs w:val="20"/>
                <w:color w:val="auto"/>
              </w:rPr>
            </w:pPr>
            <w:r>
              <w:rPr>
                <w:rFonts w:ascii="Times New Roman" w:cs="Times New Roman" w:eastAsia="Times New Roman" w:hAnsi="Times New Roman"/>
                <w:sz w:val="18"/>
                <w:szCs w:val="18"/>
                <w:color w:val="auto"/>
                <w:w w:val="99"/>
              </w:rPr>
              <w:t>To March 31, 2026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40" w:type="dxa"/>
            <w:vAlign w:val="bottom"/>
            <w:gridSpan w:val="6"/>
            <w:vMerge w:val="restart"/>
          </w:tcPr>
          <w:p>
            <w:pPr>
              <w:jc w:val="right"/>
              <w:ind w:right="300"/>
              <w:spacing w:after="0"/>
              <w:rPr>
                <w:sz w:val="20"/>
                <w:szCs w:val="20"/>
                <w:color w:val="auto"/>
              </w:rPr>
            </w:pPr>
            <w:r>
              <w:rPr>
                <w:rFonts w:ascii="Times New Roman" w:cs="Times New Roman" w:eastAsia="Times New Roman" w:hAnsi="Times New Roman"/>
                <w:sz w:val="18"/>
                <w:szCs w:val="18"/>
                <w:color w:val="auto"/>
              </w:rPr>
              <w:t>Shareholders’ Equity</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40" w:type="dxa"/>
            <w:vAlign w:val="bottom"/>
            <w:gridSpan w:val="5"/>
          </w:tcPr>
          <w:p>
            <w:pPr>
              <w:ind w:left="900"/>
              <w:spacing w:after="0"/>
              <w:rPr>
                <w:sz w:val="20"/>
                <w:szCs w:val="20"/>
                <w:color w:val="auto"/>
              </w:rPr>
            </w:pPr>
            <w:r>
              <w:rPr>
                <w:rFonts w:ascii="Times New Roman" w:cs="Times New Roman" w:eastAsia="Times New Roman" w:hAnsi="Times New Roman"/>
                <w:sz w:val="18"/>
                <w:szCs w:val="18"/>
                <w:color w:val="auto"/>
                <w:w w:val="97"/>
              </w:rPr>
              <w:t>(Unit: 1,000 yen)</w:t>
            </w:r>
          </w:p>
        </w:tc>
        <w:tc>
          <w:tcPr>
            <w:tcW w:w="0" w:type="dxa"/>
            <w:vAlign w:val="bottom"/>
          </w:tcPr>
          <w:p>
            <w:pPr>
              <w:spacing w:after="0"/>
              <w:rPr>
                <w:sz w:val="1"/>
                <w:szCs w:val="1"/>
                <w:color w:val="auto"/>
              </w:rPr>
            </w:pPr>
          </w:p>
        </w:tc>
      </w:tr>
      <w:tr>
        <w:trPr>
          <w:trHeight w:val="236"/>
        </w:trPr>
        <w:tc>
          <w:tcPr>
            <w:tcW w:w="228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6"/>
            <w:vMerge w:val="continue"/>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2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Capital Surplus</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gridSpan w:val="7"/>
          </w:tcPr>
          <w:p>
            <w:pPr>
              <w:jc w:val="right"/>
              <w:ind w:right="480"/>
              <w:spacing w:after="0"/>
              <w:rPr>
                <w:sz w:val="20"/>
                <w:szCs w:val="20"/>
                <w:color w:val="auto"/>
              </w:rPr>
            </w:pPr>
            <w:r>
              <w:rPr>
                <w:rFonts w:ascii="Times New Roman" w:cs="Times New Roman" w:eastAsia="Times New Roman" w:hAnsi="Times New Roman"/>
                <w:sz w:val="18"/>
                <w:szCs w:val="18"/>
                <w:color w:val="auto"/>
              </w:rPr>
              <w:t>Retained Earnings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gridSpan w:val="2"/>
          </w:tcPr>
          <w:p>
            <w:pPr>
              <w:jc w:val="center"/>
              <w:ind w:right="240"/>
              <w:spacing w:after="0" w:line="198" w:lineRule="exact"/>
              <w:rPr>
                <w:sz w:val="20"/>
                <w:szCs w:val="20"/>
                <w:color w:val="auto"/>
              </w:rPr>
            </w:pPr>
            <w:r>
              <w:rPr>
                <w:rFonts w:ascii="Times New Roman" w:cs="Times New Roman" w:eastAsia="Times New Roman" w:hAnsi="Times New Roman"/>
                <w:sz w:val="18"/>
                <w:szCs w:val="18"/>
                <w:color w:val="auto"/>
              </w:rPr>
              <w:t>Other</w:t>
            </w: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retained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earnings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center"/>
              <w:ind w:right="50"/>
              <w:spacing w:after="0" w:line="198" w:lineRule="exact"/>
              <w:rPr>
                <w:sz w:val="20"/>
                <w:szCs w:val="20"/>
                <w:color w:val="auto"/>
              </w:rPr>
            </w:pPr>
            <w:r>
              <w:rPr>
                <w:rFonts w:ascii="Times New Roman" w:cs="Times New Roman" w:eastAsia="Times New Roman" w:hAnsi="Times New Roman"/>
                <w:sz w:val="18"/>
                <w:szCs w:val="18"/>
                <w:color w:val="auto"/>
                <w:w w:val="99"/>
              </w:rPr>
              <w:t>Retained</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Total</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earnings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4"/>
              </w:rPr>
              <w:t>Total</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4"/>
              </w:rPr>
              <w:t>Total</w:t>
            </w:r>
          </w:p>
        </w:tc>
        <w:tc>
          <w:tcPr>
            <w:tcW w:w="1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Stock</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Paid-in</w:t>
            </w:r>
          </w:p>
        </w:tc>
        <w:tc>
          <w:tcPr>
            <w:tcW w:w="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Capital</w:t>
            </w:r>
          </w:p>
        </w:tc>
        <w:tc>
          <w:tcPr>
            <w:tcW w:w="200" w:type="dxa"/>
            <w:vAlign w:val="bottom"/>
          </w:tcPr>
          <w:p>
            <w:pPr>
              <w:spacing w:after="0"/>
              <w:rPr>
                <w:sz w:val="18"/>
                <w:szCs w:val="18"/>
                <w:color w:val="auto"/>
              </w:rPr>
            </w:pPr>
          </w:p>
        </w:tc>
        <w:tc>
          <w:tcPr>
            <w:tcW w:w="9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capital</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carried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w w:val="99"/>
              </w:rPr>
              <w:t>Retained</w:t>
            </w:r>
          </w:p>
        </w:tc>
        <w:tc>
          <w:tcPr>
            <w:tcW w:w="100" w:type="dxa"/>
            <w:vAlign w:val="bottom"/>
          </w:tcPr>
          <w:p>
            <w:pPr>
              <w:spacing w:after="0"/>
              <w:rPr>
                <w:sz w:val="18"/>
                <w:szCs w:val="18"/>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Shareholders’</w:t>
            </w: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Acquisition</w:t>
            </w:r>
          </w:p>
        </w:tc>
        <w:tc>
          <w:tcPr>
            <w:tcW w:w="160" w:type="dxa"/>
            <w:vAlign w:val="bottom"/>
          </w:tcPr>
          <w:p>
            <w:pPr>
              <w:spacing w:after="0"/>
              <w:rPr>
                <w:sz w:val="18"/>
                <w:szCs w:val="18"/>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41"/>
        </w:trPr>
        <w:tc>
          <w:tcPr>
            <w:tcW w:w="2280" w:type="dxa"/>
            <w:vAlign w:val="bottom"/>
          </w:tcPr>
          <w:p>
            <w:pPr>
              <w:spacing w:after="0"/>
              <w:rPr>
                <w:sz w:val="20"/>
                <w:szCs w:val="20"/>
                <w:color w:val="auto"/>
              </w:rPr>
            </w:pP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Capital</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Reserve</w:t>
            </w:r>
          </w:p>
        </w:tc>
        <w:tc>
          <w:tcPr>
            <w:tcW w:w="200" w:type="dxa"/>
            <w:vAlign w:val="bottom"/>
          </w:tcPr>
          <w:p>
            <w:pPr>
              <w:spacing w:after="0"/>
              <w:rPr>
                <w:sz w:val="20"/>
                <w:szCs w:val="20"/>
                <w:color w:val="auto"/>
              </w:rPr>
            </w:pPr>
          </w:p>
        </w:tc>
        <w:tc>
          <w:tcPr>
            <w:tcW w:w="9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8"/>
              </w:rPr>
              <w:t>Surplus</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forward</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w w:val="99"/>
              </w:rPr>
              <w:t>Earnings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Equity</w:t>
            </w:r>
          </w:p>
        </w:tc>
        <w:tc>
          <w:tcPr>
            <w:tcW w:w="1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Rights</w:t>
            </w:r>
          </w:p>
        </w:tc>
        <w:tc>
          <w:tcPr>
            <w:tcW w:w="160" w:type="dxa"/>
            <w:vAlign w:val="bottom"/>
          </w:tcPr>
          <w:p>
            <w:pPr>
              <w:spacing w:after="0"/>
              <w:rPr>
                <w:sz w:val="20"/>
                <w:szCs w:val="20"/>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Equity</w:t>
            </w:r>
          </w:p>
        </w:tc>
        <w:tc>
          <w:tcPr>
            <w:tcW w:w="0" w:type="dxa"/>
            <w:vAlign w:val="bottom"/>
          </w:tcPr>
          <w:p>
            <w:pPr>
              <w:spacing w:after="0"/>
              <w:rPr>
                <w:sz w:val="1"/>
                <w:szCs w:val="1"/>
                <w:color w:val="auto"/>
              </w:rPr>
            </w:pPr>
          </w:p>
        </w:tc>
      </w:tr>
      <w:tr>
        <w:trPr>
          <w:trHeight w:val="216"/>
        </w:trPr>
        <w:tc>
          <w:tcPr>
            <w:tcW w:w="2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1, 2025 Balance</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7"/>
              </w:rPr>
              <w:t>3,655,033</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3,655,033</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1,950,611</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1,950,611</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5,615,644</w:t>
            </w:r>
          </w:p>
        </w:tc>
        <w:tc>
          <w:tcPr>
            <w:tcW w:w="2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5,615,656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Fluctuations during the fiscal</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year</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Net Income</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39,659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39,659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39,659</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39,659</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Dividends from Surplus</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ind w:left="200"/>
              <w:spacing w:after="0" w:line="131" w:lineRule="exact"/>
              <w:rPr>
                <w:sz w:val="20"/>
                <w:szCs w:val="20"/>
                <w:color w:val="auto"/>
              </w:rPr>
            </w:pPr>
            <w:r>
              <w:rPr>
                <w:rFonts w:ascii="MS PGothic" w:cs="MS PGothic" w:eastAsia="MS PGothic" w:hAnsi="MS PGothic"/>
                <w:sz w:val="13"/>
                <w:szCs w:val="13"/>
                <w:color w:val="auto"/>
                <w:w w:val="76"/>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79,999</w:t>
            </w:r>
          </w:p>
        </w:tc>
        <w:tc>
          <w:tcPr>
            <w:tcW w:w="240" w:type="dxa"/>
            <w:vAlign w:val="bottom"/>
            <w:gridSpan w:val="2"/>
          </w:tcPr>
          <w:p>
            <w:pPr>
              <w:ind w:left="100"/>
              <w:spacing w:after="0" w:line="171" w:lineRule="exact"/>
              <w:rPr>
                <w:sz w:val="20"/>
                <w:szCs w:val="20"/>
                <w:color w:val="auto"/>
              </w:rPr>
            </w:pPr>
            <w:r>
              <w:rPr>
                <w:rFonts w:ascii="MS PGothic" w:cs="MS PGothic" w:eastAsia="MS PGothic" w:hAnsi="MS PGothic"/>
                <w:sz w:val="17"/>
                <w:szCs w:val="17"/>
                <w:color w:val="auto"/>
                <w:w w:val="70"/>
              </w:rPr>
              <w:t>△</w:t>
            </w: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79,999</w:t>
            </w:r>
          </w:p>
        </w:tc>
        <w:tc>
          <w:tcPr>
            <w:tcW w:w="300" w:type="dxa"/>
            <w:vAlign w:val="bottom"/>
            <w:gridSpan w:val="2"/>
          </w:tcPr>
          <w:p>
            <w:pPr>
              <w:ind w:left="100"/>
              <w:spacing w:after="0" w:line="181" w:lineRule="exact"/>
              <w:rPr>
                <w:sz w:val="20"/>
                <w:szCs w:val="20"/>
                <w:color w:val="auto"/>
              </w:rPr>
            </w:pPr>
            <w:r>
              <w:rPr>
                <w:rFonts w:ascii="MS PGothic" w:cs="MS PGothic" w:eastAsia="MS PGothic" w:hAnsi="MS PGothic"/>
                <w:sz w:val="18"/>
                <w:szCs w:val="18"/>
                <w:color w:val="auto"/>
                <w:w w:val="99"/>
              </w:rPr>
              <w: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79,999</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line="181" w:lineRule="exact"/>
              <w:rPr>
                <w:sz w:val="20"/>
                <w:szCs w:val="20"/>
                <w:color w:val="auto"/>
              </w:rPr>
            </w:pPr>
            <w:r>
              <w:rPr>
                <w:rFonts w:ascii="MS PGothic" w:cs="MS PGothic" w:eastAsia="MS PGothic" w:hAnsi="MS PGothic"/>
                <w:sz w:val="18"/>
                <w:szCs w:val="18"/>
                <w:color w:val="auto"/>
                <w:w w:val="77"/>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79,999</w:t>
            </w:r>
          </w:p>
        </w:tc>
        <w:tc>
          <w:tcPr>
            <w:tcW w:w="0" w:type="dxa"/>
            <w:vAlign w:val="bottom"/>
          </w:tcPr>
          <w:p>
            <w:pPr>
              <w:spacing w:after="0"/>
              <w:rPr>
                <w:sz w:val="1"/>
                <w:szCs w:val="1"/>
                <w:color w:val="auto"/>
              </w:rPr>
            </w:pPr>
          </w:p>
        </w:tc>
      </w:tr>
      <w:tr>
        <w:trPr>
          <w:trHeight w:val="198"/>
        </w:trPr>
        <w:tc>
          <w:tcPr>
            <w:tcW w:w="2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Items other than</w:t>
            </w: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shareholders’ equity</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During the fiscal year</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Variable Amount (Net)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During the fiscal year Total</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gridSpan w:val="2"/>
            <w:vMerge w:val="restart"/>
          </w:tcPr>
          <w:p>
            <w:pPr>
              <w:ind w:left="200"/>
              <w:spacing w:after="0" w:line="131" w:lineRule="exact"/>
              <w:rPr>
                <w:sz w:val="20"/>
                <w:szCs w:val="20"/>
                <w:color w:val="auto"/>
              </w:rPr>
            </w:pPr>
            <w:r>
              <w:rPr>
                <w:rFonts w:ascii="MS PGothic" w:cs="MS PGothic" w:eastAsia="MS PGothic" w:hAnsi="MS PGothic"/>
                <w:sz w:val="13"/>
                <w:szCs w:val="13"/>
                <w:color w:val="auto"/>
                <w:w w:val="76"/>
              </w:rPr>
              <w:t>△</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gridSpan w:val="2"/>
            <w:vMerge w:val="restart"/>
          </w:tcPr>
          <w:p>
            <w:pPr>
              <w:ind w:left="100"/>
              <w:spacing w:after="0" w:line="171" w:lineRule="exact"/>
              <w:rPr>
                <w:sz w:val="20"/>
                <w:szCs w:val="20"/>
                <w:color w:val="auto"/>
              </w:rPr>
            </w:pPr>
            <w:r>
              <w:rPr>
                <w:rFonts w:ascii="MS PGothic" w:cs="MS PGothic" w:eastAsia="MS PGothic" w:hAnsi="MS PGothic"/>
                <w:sz w:val="17"/>
                <w:szCs w:val="17"/>
                <w:color w:val="auto"/>
                <w:w w:val="70"/>
              </w:rPr>
              <w:t>△</w:t>
            </w: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gridSpan w:val="2"/>
            <w:vMerge w:val="restart"/>
          </w:tcPr>
          <w:p>
            <w:pPr>
              <w:ind w:left="100"/>
              <w:spacing w:after="0" w:line="181" w:lineRule="exact"/>
              <w:rPr>
                <w:sz w:val="20"/>
                <w:szCs w:val="20"/>
                <w:color w:val="auto"/>
              </w:rPr>
            </w:pPr>
            <w:r>
              <w:rPr>
                <w:rFonts w:ascii="MS PGothic" w:cs="MS PGothic" w:eastAsia="MS PGothic" w:hAnsi="MS PGothic"/>
                <w:sz w:val="18"/>
                <w:szCs w:val="18"/>
                <w:color w:val="auto"/>
                <w:w w:val="99"/>
              </w:rPr>
              <w:t>△</w:t>
            </w: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vMerge w:val="restart"/>
          </w:tcPr>
          <w:p>
            <w:pPr>
              <w:spacing w:after="0" w:line="181" w:lineRule="exact"/>
              <w:rPr>
                <w:sz w:val="20"/>
                <w:szCs w:val="20"/>
                <w:color w:val="auto"/>
              </w:rPr>
            </w:pPr>
            <w:r>
              <w:rPr>
                <w:rFonts w:ascii="MS PGothic" w:cs="MS PGothic" w:eastAsia="MS PGothic" w:hAnsi="MS PGothic"/>
                <w:sz w:val="18"/>
                <w:szCs w:val="18"/>
                <w:color w:val="auto"/>
                <w:w w:val="77"/>
              </w:rPr>
              <w:t>△</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Variable Amount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vMerge w:val="continue"/>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40,339</w:t>
            </w:r>
          </w:p>
        </w:tc>
        <w:tc>
          <w:tcPr>
            <w:tcW w:w="240" w:type="dxa"/>
            <w:vAlign w:val="bottom"/>
            <w:gridSpan w:val="2"/>
            <w:vMerge w:val="continue"/>
          </w:tcPr>
          <w:p>
            <w:pPr>
              <w:spacing w:after="0"/>
              <w:rPr>
                <w:sz w:val="20"/>
                <w:szCs w:val="20"/>
                <w:color w:val="auto"/>
              </w:rPr>
            </w:pP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40,339</w:t>
            </w:r>
          </w:p>
        </w:tc>
        <w:tc>
          <w:tcPr>
            <w:tcW w:w="300" w:type="dxa"/>
            <w:vAlign w:val="bottom"/>
            <w:gridSpan w:val="2"/>
            <w:vMerge w:val="continue"/>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40,339</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continue"/>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40,339</w:t>
            </w: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31, 2026 Balance</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10,000</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3,655,033</w:t>
            </w:r>
          </w:p>
        </w:tc>
        <w:tc>
          <w:tcPr>
            <w:tcW w:w="11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3,655,033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1,910,271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1,910,271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5,575,305</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5,575,316</w:t>
            </w:r>
          </w:p>
        </w:tc>
        <w:tc>
          <w:tcPr>
            <w:tcW w:w="0" w:type="dxa"/>
            <w:vAlign w:val="bottom"/>
          </w:tcPr>
          <w:p>
            <w:pPr>
              <w:spacing w:after="0"/>
              <w:rPr>
                <w:sz w:val="1"/>
                <w:szCs w:val="1"/>
                <w:color w:val="auto"/>
              </w:rPr>
            </w:pPr>
          </w:p>
        </w:tc>
      </w:tr>
      <w:tr>
        <w:trPr>
          <w:trHeight w:val="655"/>
        </w:trPr>
        <w:tc>
          <w:tcPr>
            <w:tcW w:w="2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3"/>
          </w:tcPr>
          <w:p>
            <w:pPr>
              <w:jc w:val="center"/>
              <w:ind w:right="610"/>
              <w:spacing w:after="0"/>
              <w:rPr>
                <w:sz w:val="20"/>
                <w:szCs w:val="20"/>
                <w:color w:val="auto"/>
              </w:rPr>
            </w:pPr>
            <w:r>
              <w:rPr>
                <w:rFonts w:ascii="Times New Roman" w:cs="Times New Roman" w:eastAsia="Times New Roman" w:hAnsi="Times New Roman"/>
                <w:sz w:val="18"/>
                <w:szCs w:val="18"/>
                <w:color w:val="auto"/>
              </w:rPr>
              <w:t>- 17 -</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91" w:right="339" w:bottom="1440" w:gutter="0" w:footer="0" w:header="0"/>
        </w:sectPr>
      </w:pPr>
    </w:p>
    <w:bookmarkStart w:id="21" w:name="page22"/>
    <w:bookmarkEnd w:id="21"/>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Note to Individual Securities</w:t>
      </w:r>
    </w:p>
    <w:p>
      <w:pPr>
        <w:spacing w:after="0" w:line="225" w:lineRule="exact"/>
        <w:rPr>
          <w:sz w:val="20"/>
          <w:szCs w:val="20"/>
          <w:color w:val="auto"/>
        </w:rPr>
      </w:pPr>
    </w:p>
    <w:p>
      <w:pPr>
        <w:ind w:left="340" w:hanging="332"/>
        <w:spacing w:after="0"/>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on Important Accounting Policy Matters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Valuation Criteria and Methods of Securities</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subsidiaries and affiliates......... Cost method based on moving average method</w:t>
      </w:r>
    </w:p>
    <w:p>
      <w:pPr>
        <w:spacing w:after="0" w:line="225" w:lineRule="exact"/>
        <w:rPr>
          <w:rFonts w:ascii="Times New Roman" w:cs="Times New Roman" w:eastAsia="Times New Roman" w:hAnsi="Times New Roman"/>
          <w:sz w:val="18"/>
          <w:szCs w:val="18"/>
          <w:color w:val="auto"/>
        </w:rPr>
      </w:pPr>
    </w:p>
    <w:p>
      <w:pPr>
        <w:ind w:left="660" w:right="7200" w:hanging="328"/>
        <w:spacing w:after="0" w:line="530" w:lineRule="auto"/>
        <w:tabs>
          <w:tab w:leader="none" w:pos="660" w:val="left"/>
        </w:tabs>
        <w:numPr>
          <w:ilvl w:val="1"/>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Inventory Valuation Criteria and Methods Cost method based on moving average method</w:t>
      </w:r>
    </w:p>
    <w:p>
      <w:pPr>
        <w:ind w:left="6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(Balance sheet value is calculated by the method of devaluation due to a decrease in profitability.)</w:t>
      </w:r>
    </w:p>
    <w:p>
      <w:pPr>
        <w:spacing w:after="0" w:line="225"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Method of depreciation of fixed assets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2"/>
          <w:numId w:val="3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Property, plant and equipment (excluding leased assets)</w:t>
      </w:r>
    </w:p>
    <w:p>
      <w:pPr>
        <w:spacing w:after="0" w:line="225" w:lineRule="exact"/>
        <w:rPr>
          <w:rFonts w:ascii="MS PGothic" w:cs="MS PGothic" w:eastAsia="MS PGothic" w:hAnsi="MS PGothic"/>
          <w:sz w:val="18"/>
          <w:szCs w:val="18"/>
          <w:color w:val="auto"/>
        </w:rPr>
      </w:pPr>
    </w:p>
    <w:p>
      <w:pPr>
        <w:ind w:left="980" w:right="1000"/>
        <w:spacing w:after="0" w:line="500" w:lineRule="auto"/>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Declining Ratio Method (provided, however, that buildings acquired on or after April 1, 1998 (excluding ancillary facilities) and Facilities and structures attached to buildings acquired on or after April 1, 2016, are subject to the straight-line method.</w:t>
      </w:r>
    </w:p>
    <w:p>
      <w:pPr>
        <w:spacing w:after="0" w:line="1" w:lineRule="exact"/>
        <w:rPr>
          <w:rFonts w:ascii="MS PGothic" w:cs="MS PGothic" w:eastAsia="MS PGothic" w:hAnsi="MS PGothic"/>
          <w:sz w:val="18"/>
          <w:szCs w:val="18"/>
          <w:color w:val="auto"/>
        </w:rPr>
      </w:pPr>
    </w:p>
    <w:p>
      <w:pPr>
        <w:ind w:left="98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The main service life is as follows:</w:t>
      </w:r>
    </w:p>
    <w:p>
      <w:pPr>
        <w:sectPr>
          <w:pgSz w:w="11900" w:h="16838" w:orient="portrait"/>
          <w:cols w:equalWidth="0" w:num="1">
            <w:col w:w="11240"/>
          </w:cols>
          <w:pgMar w:left="320" w:top="904" w:right="339" w:bottom="1440" w:gutter="0" w:footer="0" w:header="0"/>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Building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Facilities attached to the building</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Construct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Vehicle Transporter</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Tools, Fixtures and Fixtures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54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jc w:val="right"/>
        <w:spacing w:after="0" w:line="207" w:lineRule="exact"/>
        <w:rPr>
          <w:sz w:val="20"/>
          <w:szCs w:val="20"/>
          <w:color w:val="auto"/>
        </w:rPr>
      </w:pPr>
      <w:r>
        <w:rPr>
          <w:rFonts w:ascii="Times New Roman" w:cs="Times New Roman" w:eastAsia="Times New Roman" w:hAnsi="Times New Roman"/>
          <w:sz w:val="17"/>
          <w:szCs w:val="17"/>
          <w:color w:val="auto"/>
        </w:rPr>
        <w:t>38</w:t>
      </w:r>
      <w:r>
        <w:rPr>
          <w:rFonts w:ascii="SimSun" w:cs="SimSun" w:eastAsia="SimSun" w:hAnsi="SimSun"/>
          <w:sz w:val="17"/>
          <w:szCs w:val="17"/>
          <w:color w:val="auto"/>
        </w:rPr>
        <w:t>～</w:t>
      </w:r>
      <w:r>
        <w:rPr>
          <w:rFonts w:ascii="Times New Roman" w:cs="Times New Roman" w:eastAsia="Times New Roman" w:hAnsi="Times New Roman"/>
          <w:sz w:val="17"/>
          <w:szCs w:val="17"/>
          <w:color w:val="auto"/>
        </w:rPr>
        <w:t>50 years</w:t>
      </w:r>
    </w:p>
    <w:p>
      <w:pPr>
        <w:spacing w:after="0" w:line="36" w:lineRule="exact"/>
        <w:rPr>
          <w:sz w:val="20"/>
          <w:szCs w:val="20"/>
          <w:color w:val="auto"/>
        </w:rPr>
      </w:pPr>
    </w:p>
    <w:p>
      <w:pPr>
        <w:jc w:val="right"/>
        <w:spacing w:after="0" w:line="219" w:lineRule="exact"/>
        <w:rPr>
          <w:sz w:val="20"/>
          <w:szCs w:val="20"/>
          <w:color w:val="auto"/>
        </w:rPr>
      </w:pPr>
      <w:r>
        <w:rPr>
          <w:rFonts w:ascii="Times New Roman" w:cs="Times New Roman" w:eastAsia="Times New Roman" w:hAnsi="Times New Roman"/>
          <w:sz w:val="18"/>
          <w:szCs w:val="18"/>
          <w:color w:val="auto"/>
        </w:rPr>
        <w:t>3</w:t>
      </w:r>
      <w:r>
        <w:rPr>
          <w:rFonts w:ascii="SimSun" w:cs="SimSun" w:eastAsia="SimSun" w:hAnsi="SimSun"/>
          <w:sz w:val="18"/>
          <w:szCs w:val="18"/>
          <w:color w:val="auto"/>
        </w:rPr>
        <w:t>～</w:t>
      </w:r>
      <w:r>
        <w:rPr>
          <w:rFonts w:ascii="Times New Roman" w:cs="Times New Roman" w:eastAsia="Times New Roman" w:hAnsi="Times New Roman"/>
          <w:sz w:val="18"/>
          <w:szCs w:val="18"/>
          <w:color w:val="auto"/>
        </w:rPr>
        <w:t>18 years</w:t>
      </w:r>
    </w:p>
    <w:p>
      <w:pPr>
        <w:spacing w:after="0" w:line="24" w:lineRule="exact"/>
        <w:rPr>
          <w:sz w:val="20"/>
          <w:szCs w:val="20"/>
          <w:color w:val="auto"/>
        </w:rPr>
      </w:pPr>
    </w:p>
    <w:p>
      <w:pPr>
        <w:jc w:val="right"/>
        <w:spacing w:after="0" w:line="207" w:lineRule="exact"/>
        <w:rPr>
          <w:sz w:val="20"/>
          <w:szCs w:val="20"/>
          <w:color w:val="auto"/>
        </w:rPr>
      </w:pPr>
      <w:r>
        <w:rPr>
          <w:rFonts w:ascii="Times New Roman" w:cs="Times New Roman" w:eastAsia="Times New Roman" w:hAnsi="Times New Roman"/>
          <w:sz w:val="17"/>
          <w:szCs w:val="17"/>
          <w:color w:val="auto"/>
        </w:rPr>
        <w:t>10</w:t>
      </w:r>
      <w:r>
        <w:rPr>
          <w:rFonts w:ascii="SimSun" w:cs="SimSun" w:eastAsia="SimSun" w:hAnsi="SimSun"/>
          <w:sz w:val="17"/>
          <w:szCs w:val="17"/>
          <w:color w:val="auto"/>
        </w:rPr>
        <w:t>～</w:t>
      </w:r>
      <w:r>
        <w:rPr>
          <w:rFonts w:ascii="Times New Roman" w:cs="Times New Roman" w:eastAsia="Times New Roman" w:hAnsi="Times New Roman"/>
          <w:sz w:val="17"/>
          <w:szCs w:val="17"/>
          <w:color w:val="auto"/>
        </w:rPr>
        <w:t>30 years</w:t>
      </w:r>
    </w:p>
    <w:p>
      <w:pPr>
        <w:spacing w:after="0" w:line="36" w:lineRule="exact"/>
        <w:rPr>
          <w:sz w:val="20"/>
          <w:szCs w:val="20"/>
          <w:color w:val="auto"/>
        </w:rPr>
      </w:pPr>
    </w:p>
    <w:p>
      <w:pPr>
        <w:jc w:val="right"/>
        <w:spacing w:after="0" w:line="219" w:lineRule="exact"/>
        <w:rPr>
          <w:sz w:val="20"/>
          <w:szCs w:val="20"/>
          <w:color w:val="auto"/>
        </w:rPr>
      </w:pPr>
      <w:r>
        <w:rPr>
          <w:rFonts w:ascii="Times New Roman" w:cs="Times New Roman" w:eastAsia="Times New Roman" w:hAnsi="Times New Roman"/>
          <w:sz w:val="18"/>
          <w:szCs w:val="18"/>
          <w:color w:val="auto"/>
        </w:rPr>
        <w:t>2</w:t>
      </w:r>
      <w:r>
        <w:rPr>
          <w:rFonts w:ascii="SimSun" w:cs="SimSun" w:eastAsia="SimSun" w:hAnsi="SimSun"/>
          <w:sz w:val="18"/>
          <w:szCs w:val="18"/>
          <w:color w:val="auto"/>
        </w:rPr>
        <w:t>～</w:t>
      </w:r>
      <w:r>
        <w:rPr>
          <w:rFonts w:ascii="Times New Roman" w:cs="Times New Roman" w:eastAsia="Times New Roman" w:hAnsi="Times New Roman"/>
          <w:sz w:val="18"/>
          <w:szCs w:val="18"/>
          <w:color w:val="auto"/>
        </w:rPr>
        <w:t>7 Years</w:t>
      </w:r>
    </w:p>
    <w:p>
      <w:pPr>
        <w:spacing w:after="0" w:line="24" w:lineRule="exact"/>
        <w:rPr>
          <w:sz w:val="20"/>
          <w:szCs w:val="20"/>
          <w:color w:val="auto"/>
        </w:rPr>
      </w:pPr>
    </w:p>
    <w:p>
      <w:pPr>
        <w:jc w:val="right"/>
        <w:spacing w:after="0" w:line="219" w:lineRule="exact"/>
        <w:rPr>
          <w:sz w:val="20"/>
          <w:szCs w:val="20"/>
          <w:color w:val="auto"/>
        </w:rPr>
      </w:pPr>
      <w:r>
        <w:rPr>
          <w:rFonts w:ascii="Times New Roman" w:cs="Times New Roman" w:eastAsia="Times New Roman" w:hAnsi="Times New Roman"/>
          <w:sz w:val="18"/>
          <w:szCs w:val="18"/>
          <w:color w:val="auto"/>
        </w:rPr>
        <w:t>2</w:t>
      </w:r>
      <w:r>
        <w:rPr>
          <w:rFonts w:ascii="SimSun" w:cs="SimSun" w:eastAsia="SimSun" w:hAnsi="SimSun"/>
          <w:sz w:val="18"/>
          <w:szCs w:val="18"/>
          <w:color w:val="auto"/>
        </w:rPr>
        <w:t>～</w:t>
      </w:r>
      <w:r>
        <w:rPr>
          <w:rFonts w:ascii="Times New Roman" w:cs="Times New Roman" w:eastAsia="Times New Roman" w:hAnsi="Times New Roman"/>
          <w:sz w:val="18"/>
          <w:szCs w:val="18"/>
          <w:color w:val="auto"/>
        </w:rPr>
        <w:t>20 years</w:t>
      </w:r>
    </w:p>
    <w:p>
      <w:pPr>
        <w:spacing w:after="0" w:line="200" w:lineRule="exact"/>
        <w:rPr>
          <w:sz w:val="20"/>
          <w:szCs w:val="20"/>
          <w:color w:val="auto"/>
        </w:rPr>
      </w:pPr>
    </w:p>
    <w:p>
      <w:pPr>
        <w:sectPr>
          <w:pgSz w:w="11900" w:h="16838" w:orient="portrait"/>
          <w:cols w:equalWidth="0" w:num="2">
            <w:col w:w="9560" w:space="720"/>
            <w:col w:w="960"/>
          </w:cols>
          <w:pgMar w:left="320" w:top="904" w:right="339" w:bottom="1440" w:gutter="0" w:footer="0" w:header="0"/>
          <w:type w:val="continuous"/>
        </w:sectPr>
      </w:pPr>
    </w:p>
    <w:p>
      <w:pPr>
        <w:spacing w:after="0" w:line="27" w:lineRule="exact"/>
        <w:rPr>
          <w:sz w:val="20"/>
          <w:szCs w:val="20"/>
          <w:color w:val="auto"/>
        </w:rPr>
      </w:pPr>
    </w:p>
    <w:p>
      <w:pPr>
        <w:ind w:left="980" w:hanging="324"/>
        <w:spacing w:after="0"/>
        <w:tabs>
          <w:tab w:leader="none" w:pos="980" w:val="left"/>
        </w:tabs>
        <w:numPr>
          <w:ilvl w:val="1"/>
          <w:numId w:val="3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Leased Assets</w:t>
      </w:r>
    </w:p>
    <w:p>
      <w:pPr>
        <w:spacing w:after="0" w:line="225" w:lineRule="exact"/>
        <w:rPr>
          <w:rFonts w:ascii="MS PGothic" w:cs="MS PGothic" w:eastAsia="MS PGothic" w:hAnsi="MS PGothic"/>
          <w:sz w:val="18"/>
          <w:szCs w:val="18"/>
          <w:color w:val="auto"/>
        </w:rPr>
      </w:pPr>
    </w:p>
    <w:p>
      <w:pPr>
        <w:ind w:left="98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Leased assets related to finance and lease transactions other than the transfer of ownership</w:t>
      </w:r>
    </w:p>
    <w:p>
      <w:pPr>
        <w:spacing w:after="0" w:line="225" w:lineRule="exact"/>
        <w:rPr>
          <w:rFonts w:ascii="MS PGothic" w:cs="MS PGothic" w:eastAsia="MS PGothic" w:hAnsi="MS PGothic"/>
          <w:sz w:val="18"/>
          <w:szCs w:val="18"/>
          <w:color w:val="auto"/>
        </w:rPr>
      </w:pPr>
    </w:p>
    <w:p>
      <w:pPr>
        <w:ind w:left="98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We use a straight-line method in which the lease period is the useful life and the residual value is zero.</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Criteria for recording allowances</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Allowance for doubtful debts</w:t>
      </w:r>
    </w:p>
    <w:p>
      <w:pPr>
        <w:spacing w:after="0" w:line="225" w:lineRule="exact"/>
        <w:rPr>
          <w:sz w:val="20"/>
          <w:szCs w:val="20"/>
          <w:color w:val="auto"/>
        </w:rPr>
      </w:pPr>
    </w:p>
    <w:p>
      <w:pPr>
        <w:ind w:left="980" w:right="20"/>
        <w:spacing w:after="0" w:line="282" w:lineRule="auto"/>
        <w:rPr>
          <w:sz w:val="20"/>
          <w:szCs w:val="20"/>
          <w:color w:val="auto"/>
        </w:rPr>
      </w:pPr>
      <w:r>
        <w:rPr>
          <w:rFonts w:ascii="Times New Roman" w:cs="Times New Roman" w:eastAsia="Times New Roman" w:hAnsi="Times New Roman"/>
          <w:sz w:val="18"/>
          <w:szCs w:val="18"/>
          <w:color w:val="auto"/>
        </w:rPr>
        <w:t>To prepare for losses due to bad debts, we record the expected number of uncollectible receivables based on the actual rate of bad debts for general receivables and the recoverability of specific receivables such as receivables of doubtful concerns.</w:t>
      </w:r>
    </w:p>
    <w:p>
      <w:pPr>
        <w:spacing w:after="0" w:line="162" w:lineRule="exact"/>
        <w:rPr>
          <w:sz w:val="20"/>
          <w:szCs w:val="20"/>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Allowance for bonuses</w:t>
      </w:r>
    </w:p>
    <w:p>
      <w:pPr>
        <w:spacing w:after="0" w:line="225" w:lineRule="exact"/>
        <w:rPr>
          <w:rFonts w:ascii="Times New Roman" w:cs="Times New Roman" w:eastAsia="Times New Roman" w:hAnsi="Times New Roman"/>
          <w:sz w:val="18"/>
          <w:szCs w:val="18"/>
          <w:color w:val="auto"/>
        </w:rPr>
      </w:pPr>
    </w:p>
    <w:p>
      <w:pPr>
        <w:ind w:left="9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prepare for the payment of bonuses for employees, we have recorded an estimated amount corresponding to the current fiscal year out of the estimated amount to be paid.</w:t>
      </w:r>
    </w:p>
    <w:p>
      <w:pPr>
        <w:spacing w:after="0" w:line="377"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22" w:name="page23"/>
    <w:bookmarkEnd w:id="22"/>
    <w:p>
      <w:pPr>
        <w:ind w:left="324" w:hanging="324"/>
        <w:spacing w:after="0"/>
        <w:tabs>
          <w:tab w:leader="none" w:pos="324" w:val="left"/>
        </w:tabs>
        <w:numPr>
          <w:ilvl w:val="0"/>
          <w:numId w:val="3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Provision for retirement benefits</w:t>
      </w:r>
    </w:p>
    <w:p>
      <w:pPr>
        <w:spacing w:after="0" w:line="225" w:lineRule="exact"/>
        <w:rPr>
          <w:rFonts w:ascii="MS PGothic" w:cs="MS PGothic" w:eastAsia="MS PGothic" w:hAnsi="MS PGothic"/>
          <w:sz w:val="18"/>
          <w:szCs w:val="18"/>
          <w:color w:val="auto"/>
        </w:rPr>
      </w:pPr>
    </w:p>
    <w:p>
      <w:pPr>
        <w:ind w:left="324"/>
        <w:spacing w:after="0" w:line="282" w:lineRule="auto"/>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To prepare for retirement benefits for employees, based on the retirement benefit obligations at the end of the current fiscal year, the amount that is recognized as occurring is recorded.</w:t>
      </w:r>
    </w:p>
    <w:p>
      <w:pPr>
        <w:spacing w:after="0" w:line="162" w:lineRule="exact"/>
        <w:rPr>
          <w:sz w:val="20"/>
          <w:szCs w:val="20"/>
          <w:color w:val="auto"/>
        </w:rPr>
      </w:pPr>
    </w:p>
    <w:p>
      <w:pPr>
        <w:ind w:left="324"/>
        <w:spacing w:after="0" w:line="282" w:lineRule="auto"/>
        <w:rPr>
          <w:sz w:val="20"/>
          <w:szCs w:val="20"/>
          <w:color w:val="auto"/>
        </w:rPr>
      </w:pPr>
      <w:r>
        <w:rPr>
          <w:rFonts w:ascii="Times New Roman" w:cs="Times New Roman" w:eastAsia="Times New Roman" w:hAnsi="Times New Roman"/>
          <w:sz w:val="18"/>
          <w:szCs w:val="18"/>
          <w:color w:val="auto"/>
        </w:rPr>
        <w:t>Retirement benefit obligations are calculated based on the amount of voluntary payment at the end of the fiscal year stipulated in the retirement allowance regulations.</w:t>
      </w:r>
    </w:p>
    <w:p>
      <w:pPr>
        <w:spacing w:after="0" w:line="162" w:lineRule="exact"/>
        <w:rPr>
          <w:sz w:val="20"/>
          <w:szCs w:val="20"/>
          <w:color w:val="auto"/>
        </w:rPr>
      </w:pPr>
    </w:p>
    <w:p>
      <w:pPr>
        <w:ind w:left="324" w:hanging="324"/>
        <w:spacing w:after="0"/>
        <w:tabs>
          <w:tab w:leader="none" w:pos="324" w:val="left"/>
        </w:tabs>
        <w:numPr>
          <w:ilvl w:val="0"/>
          <w:numId w:val="3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Point Allowance</w:t>
      </w:r>
    </w:p>
    <w:p>
      <w:pPr>
        <w:spacing w:after="0" w:line="225" w:lineRule="exact"/>
        <w:rPr>
          <w:rFonts w:ascii="MS PGothic" w:cs="MS PGothic" w:eastAsia="MS PGothic" w:hAnsi="MS PGothic"/>
          <w:sz w:val="18"/>
          <w:szCs w:val="18"/>
          <w:color w:val="auto"/>
        </w:rPr>
      </w:pPr>
    </w:p>
    <w:p>
      <w:pPr>
        <w:ind w:left="324"/>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Of the Company’s points issued under the point system for the purpose of sales promotion, they are not attributable to sales.</w:t>
      </w:r>
    </w:p>
    <w:p>
      <w:pPr>
        <w:spacing w:after="0" w:line="225" w:lineRule="exact"/>
        <w:rPr>
          <w:sz w:val="20"/>
          <w:szCs w:val="20"/>
          <w:color w:val="auto"/>
        </w:rPr>
      </w:pPr>
    </w:p>
    <w:p>
      <w:pPr>
        <w:ind w:left="324"/>
        <w:spacing w:after="0"/>
        <w:rPr>
          <w:sz w:val="20"/>
          <w:szCs w:val="20"/>
          <w:color w:val="auto"/>
        </w:rPr>
      </w:pPr>
      <w:r>
        <w:rPr>
          <w:rFonts w:ascii="Times New Roman" w:cs="Times New Roman" w:eastAsia="Times New Roman" w:hAnsi="Times New Roman"/>
          <w:sz w:val="18"/>
          <w:szCs w:val="18"/>
          <w:color w:val="auto"/>
        </w:rPr>
        <w:t>The amount expected to be used in the future is recorded based on the actual rate of use in the past, etc., for the unused amount.</w:t>
      </w:r>
    </w:p>
    <w:p>
      <w:pPr>
        <w:spacing w:after="0" w:line="225" w:lineRule="exact"/>
        <w:rPr>
          <w:sz w:val="20"/>
          <w:szCs w:val="20"/>
          <w:color w:val="auto"/>
        </w:rPr>
      </w:pPr>
    </w:p>
    <w:p>
      <w:pPr>
        <w:ind w:left="324" w:hanging="324"/>
        <w:spacing w:after="0"/>
        <w:tabs>
          <w:tab w:leader="none" w:pos="32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Criteria for Recording Revenues and Expenses</w:t>
      </w:r>
    </w:p>
    <w:p>
      <w:pPr>
        <w:spacing w:after="0" w:line="225" w:lineRule="exact"/>
        <w:rPr>
          <w:rFonts w:ascii="Times New Roman" w:cs="Times New Roman" w:eastAsia="Times New Roman" w:hAnsi="Times New Roman"/>
          <w:sz w:val="18"/>
          <w:szCs w:val="18"/>
          <w:color w:val="auto"/>
        </w:rPr>
      </w:pPr>
    </w:p>
    <w:p>
      <w:pPr>
        <w:jc w:val="both"/>
        <w:ind w:left="324"/>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main business is the sale of cosmetics and daily necessities, and the sale of These products are related to the delivery at the time of delivery, the customer has acquired control over the goods and has determined that the performance obligations have been satisfied. Therefore, we are aware of the revenue at the time of delivery of the product. In addition, the revenue goes to contracts with customers. It is measured by the amount obtained by deducting returns, discounts, rebates, etc. from the promised consideration.</w:t>
      </w:r>
    </w:p>
    <w:p>
      <w:pPr>
        <w:spacing w:after="0" w:line="179" w:lineRule="exact"/>
        <w:rPr>
          <w:rFonts w:ascii="Times New Roman" w:cs="Times New Roman" w:eastAsia="Times New Roman" w:hAnsi="Times New Roman"/>
          <w:sz w:val="18"/>
          <w:szCs w:val="18"/>
          <w:color w:val="auto"/>
        </w:rPr>
      </w:pPr>
    </w:p>
    <w:p>
      <w:pPr>
        <w:ind w:left="324" w:right="1380" w:hanging="324"/>
        <w:spacing w:after="0" w:line="532" w:lineRule="auto"/>
        <w:tabs>
          <w:tab w:leader="none" w:pos="32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important matters that form the basis for the preparation of financial statements Accounting for consumption tax, etc. Consumption tax and other accounting procedures are based on the tax-exclusive method.</w:t>
      </w:r>
    </w:p>
    <w:p>
      <w:pPr>
        <w:spacing w:after="0" w:line="162" w:lineRule="exact"/>
        <w:rPr>
          <w:rFonts w:ascii="Times New Roman" w:cs="Times New Roman" w:eastAsia="Times New Roman" w:hAnsi="Times New Roman"/>
          <w:sz w:val="18"/>
          <w:szCs w:val="18"/>
          <w:color w:val="auto"/>
        </w:rPr>
      </w:pPr>
    </w:p>
    <w:p>
      <w:pPr>
        <w:ind w:left="4884" w:hanging="111"/>
        <w:spacing w:after="0"/>
        <w:tabs>
          <w:tab w:leader="none" w:pos="4884"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23" w:name="page24"/>
    <w:bookmarkEnd w:id="23"/>
    <w:p>
      <w:pPr>
        <w:ind w:left="340" w:hanging="332"/>
        <w:spacing w:after="0"/>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on Revenue Recognition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Decomposition of earnings</w:t>
      </w:r>
    </w:p>
    <w:p>
      <w:pPr>
        <w:spacing w:after="0" w:line="225"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company operates wholesale, retail, e-commerce, and franchise businesses both domestically and internationally. The primary types of goods and services offered in each of these businesses include daily necessities, cosmetics, pharmaceuticals, consumer electronics, luxury goods, and trading card games.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of each business</w:t>
            </w:r>
          </w:p>
        </w:tc>
        <w:tc>
          <w:tcPr>
            <w:tcW w:w="4720" w:type="dxa"/>
            <w:vAlign w:val="bottom"/>
            <w:shd w:val="clear" w:color="auto" w:fill="CCEEFF"/>
          </w:tcPr>
          <w:p>
            <w:pPr>
              <w:ind w:left="2580"/>
              <w:spacing w:after="0"/>
              <w:rPr>
                <w:sz w:val="20"/>
                <w:szCs w:val="20"/>
                <w:color w:val="auto"/>
              </w:rPr>
            </w:pPr>
            <w:r>
              <w:rPr>
                <w:rFonts w:ascii="Times New Roman" w:cs="Times New Roman" w:eastAsia="Times New Roman" w:hAnsi="Times New Roman"/>
                <w:sz w:val="18"/>
                <w:szCs w:val="18"/>
                <w:color w:val="auto"/>
              </w:rPr>
              <w:t>Domestic wholesale</w:t>
            </w: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12,199,589 thousand yen</w:t>
            </w:r>
          </w:p>
        </w:tc>
      </w:tr>
      <w:tr>
        <w:trPr>
          <w:trHeight w:val="216"/>
        </w:trPr>
        <w:tc>
          <w:tcPr>
            <w:tcW w:w="4180" w:type="dxa"/>
            <w:vAlign w:val="bottom"/>
          </w:tcPr>
          <w:p>
            <w:pPr>
              <w:spacing w:after="0"/>
              <w:rPr>
                <w:sz w:val="18"/>
                <w:szCs w:val="18"/>
                <w:color w:val="auto"/>
              </w:rPr>
            </w:pPr>
          </w:p>
        </w:tc>
        <w:tc>
          <w:tcPr>
            <w:tcW w:w="4720" w:type="dxa"/>
            <w:vAlign w:val="bottom"/>
          </w:tcPr>
          <w:p>
            <w:pPr>
              <w:ind w:left="2580"/>
              <w:spacing w:after="0"/>
              <w:rPr>
                <w:sz w:val="20"/>
                <w:szCs w:val="20"/>
                <w:color w:val="auto"/>
              </w:rPr>
            </w:pPr>
            <w:r>
              <w:rPr>
                <w:rFonts w:ascii="Times New Roman" w:cs="Times New Roman" w:eastAsia="Times New Roman" w:hAnsi="Times New Roman"/>
                <w:sz w:val="18"/>
                <w:szCs w:val="18"/>
                <w:color w:val="auto"/>
              </w:rPr>
              <w:t>Domestic e-commerce</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555,999 thousand yen</w:t>
            </w:r>
          </w:p>
        </w:tc>
      </w:tr>
      <w:tr>
        <w:trPr>
          <w:trHeight w:val="216"/>
        </w:trPr>
        <w:tc>
          <w:tcPr>
            <w:tcW w:w="4180" w:type="dxa"/>
            <w:vAlign w:val="bottom"/>
            <w:shd w:val="clear" w:color="auto" w:fill="CCEEFF"/>
          </w:tcPr>
          <w:p>
            <w:pPr>
              <w:spacing w:after="0"/>
              <w:rPr>
                <w:sz w:val="18"/>
                <w:szCs w:val="18"/>
                <w:color w:val="auto"/>
              </w:rPr>
            </w:pPr>
          </w:p>
        </w:tc>
        <w:tc>
          <w:tcPr>
            <w:tcW w:w="4720" w:type="dxa"/>
            <w:vAlign w:val="bottom"/>
            <w:shd w:val="clear" w:color="auto" w:fill="CCEEFF"/>
          </w:tcPr>
          <w:p>
            <w:pPr>
              <w:ind w:left="2580"/>
              <w:spacing w:after="0"/>
              <w:rPr>
                <w:sz w:val="20"/>
                <w:szCs w:val="20"/>
                <w:color w:val="auto"/>
              </w:rPr>
            </w:pPr>
            <w:r>
              <w:rPr>
                <w:rFonts w:ascii="Times New Roman" w:cs="Times New Roman" w:eastAsia="Times New Roman" w:hAnsi="Times New Roman"/>
                <w:sz w:val="18"/>
                <w:szCs w:val="18"/>
                <w:color w:val="auto"/>
              </w:rPr>
              <w:t>Domestic retail</w:t>
            </w: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738,743 thousand yen</w:t>
            </w:r>
          </w:p>
        </w:tc>
      </w:tr>
      <w:tr>
        <w:trPr>
          <w:trHeight w:val="198"/>
        </w:trPr>
        <w:tc>
          <w:tcPr>
            <w:tcW w:w="4180" w:type="dxa"/>
            <w:vAlign w:val="bottom"/>
          </w:tcPr>
          <w:p>
            <w:pPr>
              <w:spacing w:after="0"/>
              <w:rPr>
                <w:sz w:val="17"/>
                <w:szCs w:val="17"/>
                <w:color w:val="auto"/>
              </w:rPr>
            </w:pPr>
          </w:p>
        </w:tc>
        <w:tc>
          <w:tcPr>
            <w:tcW w:w="4720" w:type="dxa"/>
            <w:vAlign w:val="bottom"/>
          </w:tcPr>
          <w:p>
            <w:pPr>
              <w:ind w:left="2580"/>
              <w:spacing w:after="0" w:line="198" w:lineRule="exact"/>
              <w:rPr>
                <w:sz w:val="20"/>
                <w:szCs w:val="20"/>
                <w:color w:val="auto"/>
              </w:rPr>
            </w:pPr>
            <w:r>
              <w:rPr>
                <w:rFonts w:ascii="Times New Roman" w:cs="Times New Roman" w:eastAsia="Times New Roman" w:hAnsi="Times New Roman"/>
                <w:sz w:val="18"/>
                <w:szCs w:val="18"/>
                <w:color w:val="auto"/>
              </w:rPr>
              <w:t>Overseas wholesale</w:t>
            </w:r>
          </w:p>
        </w:tc>
        <w:tc>
          <w:tcPr>
            <w:tcW w:w="23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24,730,535 thousand yen</w:t>
            </w:r>
          </w:p>
        </w:tc>
      </w:tr>
      <w:tr>
        <w:trPr>
          <w:trHeight w:val="234"/>
        </w:trPr>
        <w:tc>
          <w:tcPr>
            <w:tcW w:w="4180" w:type="dxa"/>
            <w:vAlign w:val="bottom"/>
          </w:tcPr>
          <w:p>
            <w:pPr>
              <w:spacing w:after="0"/>
              <w:rPr>
                <w:sz w:val="20"/>
                <w:szCs w:val="20"/>
                <w:color w:val="auto"/>
              </w:rPr>
            </w:pPr>
          </w:p>
        </w:tc>
        <w:tc>
          <w:tcPr>
            <w:tcW w:w="4720" w:type="dxa"/>
            <w:vAlign w:val="bottom"/>
          </w:tcPr>
          <w:p>
            <w:pPr>
              <w:ind w:left="2580"/>
              <w:spacing w:after="0"/>
              <w:rPr>
                <w:sz w:val="20"/>
                <w:szCs w:val="20"/>
                <w:color w:val="auto"/>
              </w:rPr>
            </w:pPr>
            <w:r>
              <w:rPr>
                <w:rFonts w:ascii="Times New Roman" w:cs="Times New Roman" w:eastAsia="Times New Roman" w:hAnsi="Times New Roman"/>
                <w:sz w:val="18"/>
                <w:szCs w:val="18"/>
                <w:color w:val="auto"/>
              </w:rPr>
              <w:t>Franchise business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558,995 thousand yen</w:t>
            </w:r>
          </w:p>
        </w:tc>
      </w:tr>
    </w:tbl>
    <w:p>
      <w:pPr>
        <w:spacing w:after="0" w:line="198" w:lineRule="exact"/>
        <w:rPr>
          <w:sz w:val="20"/>
          <w:szCs w:val="20"/>
          <w:color w:val="auto"/>
        </w:rPr>
      </w:pPr>
    </w:p>
    <w:p>
      <w:pPr>
        <w:ind w:left="660" w:hanging="328"/>
        <w:spacing w:after="0"/>
        <w:tabs>
          <w:tab w:leader="none" w:pos="66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that forms the basis for understanding earnings</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is as described in the “Accounting Standards for Revenues and Expenses” section of “Notes on Important Accounting Policies.”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on the Balance Sheet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Monetary claims and liabilities to affiliated companies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00" w:type="dxa"/>
            <w:vAlign w:val="bottom"/>
            <w:shd w:val="clear" w:color="auto" w:fill="CCEEFF"/>
          </w:tcPr>
          <w:p>
            <w:pPr>
              <w:spacing w:after="0"/>
              <w:rPr>
                <w:sz w:val="18"/>
                <w:szCs w:val="18"/>
                <w:color w:val="auto"/>
              </w:rPr>
            </w:pPr>
          </w:p>
        </w:tc>
        <w:tc>
          <w:tcPr>
            <w:tcW w:w="4760" w:type="dxa"/>
            <w:vAlign w:val="bottom"/>
            <w:shd w:val="clear" w:color="auto" w:fill="CCEEFF"/>
          </w:tcPr>
          <w:p>
            <w:pPr>
              <w:ind w:left="2560"/>
              <w:spacing w:after="0"/>
              <w:rPr>
                <w:sz w:val="20"/>
                <w:szCs w:val="20"/>
                <w:color w:val="auto"/>
              </w:rPr>
            </w:pPr>
            <w:r>
              <w:rPr>
                <w:rFonts w:ascii="Times New Roman" w:cs="Times New Roman" w:eastAsia="Times New Roman" w:hAnsi="Times New Roman"/>
                <w:sz w:val="18"/>
                <w:szCs w:val="18"/>
                <w:color w:val="auto"/>
              </w:rPr>
              <w:t>Accounts receivable</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7,491,260 thousand yen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18"/>
                <w:szCs w:val="18"/>
                <w:color w:val="auto"/>
              </w:rPr>
            </w:pPr>
          </w:p>
        </w:tc>
        <w:tc>
          <w:tcPr>
            <w:tcW w:w="476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Short-term loan</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178,312 thousand yen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18"/>
                <w:szCs w:val="18"/>
                <w:color w:val="auto"/>
              </w:rPr>
            </w:pPr>
          </w:p>
        </w:tc>
        <w:tc>
          <w:tcPr>
            <w:tcW w:w="4760" w:type="dxa"/>
            <w:vAlign w:val="bottom"/>
            <w:shd w:val="clear" w:color="auto" w:fill="CCEEFF"/>
          </w:tcPr>
          <w:p>
            <w:pPr>
              <w:ind w:left="2560"/>
              <w:spacing w:after="0"/>
              <w:rPr>
                <w:sz w:val="20"/>
                <w:szCs w:val="20"/>
                <w:color w:val="auto"/>
              </w:rPr>
            </w:pPr>
            <w:r>
              <w:rPr>
                <w:rFonts w:ascii="Times New Roman" w:cs="Times New Roman" w:eastAsia="Times New Roman" w:hAnsi="Times New Roman"/>
                <w:sz w:val="18"/>
                <w:szCs w:val="18"/>
                <w:color w:val="auto"/>
              </w:rPr>
              <w:t>Reimbursement</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 thousand yen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18"/>
                <w:szCs w:val="18"/>
                <w:color w:val="auto"/>
              </w:rPr>
            </w:pPr>
          </w:p>
        </w:tc>
        <w:tc>
          <w:tcPr>
            <w:tcW w:w="476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Unearned money</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1,620 thousand yen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18"/>
                <w:szCs w:val="18"/>
                <w:color w:val="auto"/>
              </w:rPr>
            </w:pPr>
          </w:p>
        </w:tc>
        <w:tc>
          <w:tcPr>
            <w:tcW w:w="4760" w:type="dxa"/>
            <w:vAlign w:val="bottom"/>
            <w:shd w:val="clear" w:color="auto" w:fill="CCEEFF"/>
          </w:tcPr>
          <w:p>
            <w:pPr>
              <w:ind w:left="2560"/>
              <w:spacing w:after="0"/>
              <w:rPr>
                <w:sz w:val="20"/>
                <w:szCs w:val="20"/>
                <w:color w:val="auto"/>
              </w:rPr>
            </w:pPr>
            <w:r>
              <w:rPr>
                <w:rFonts w:ascii="Times New Roman" w:cs="Times New Roman" w:eastAsia="Times New Roman" w:hAnsi="Times New Roman"/>
                <w:sz w:val="18"/>
                <w:szCs w:val="18"/>
                <w:color w:val="auto"/>
              </w:rPr>
              <w:t>Deposit</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64,900 thousand yen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18"/>
                <w:szCs w:val="18"/>
                <w:color w:val="auto"/>
              </w:rPr>
            </w:pPr>
          </w:p>
        </w:tc>
        <w:tc>
          <w:tcPr>
            <w:tcW w:w="476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Payable</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 thousand yen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18"/>
                <w:szCs w:val="18"/>
                <w:color w:val="auto"/>
              </w:rPr>
            </w:pPr>
          </w:p>
        </w:tc>
        <w:tc>
          <w:tcPr>
            <w:tcW w:w="4760" w:type="dxa"/>
            <w:vAlign w:val="bottom"/>
            <w:shd w:val="clear" w:color="auto" w:fill="CCEEFF"/>
          </w:tcPr>
          <w:p>
            <w:pPr>
              <w:ind w:left="2560"/>
              <w:spacing w:after="0"/>
              <w:rPr>
                <w:sz w:val="20"/>
                <w:szCs w:val="20"/>
                <w:color w:val="auto"/>
              </w:rPr>
            </w:pPr>
            <w:r>
              <w:rPr>
                <w:rFonts w:ascii="Times New Roman" w:cs="Times New Roman" w:eastAsia="Times New Roman" w:hAnsi="Times New Roman"/>
                <w:sz w:val="18"/>
                <w:szCs w:val="18"/>
                <w:color w:val="auto"/>
              </w:rPr>
              <w:t>Long-term borrowings</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 thousand yen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 Financial obligations to directors</w:t>
            </w:r>
          </w:p>
        </w:tc>
        <w:tc>
          <w:tcPr>
            <w:tcW w:w="4760" w:type="dxa"/>
            <w:vAlign w:val="bottom"/>
            <w:shd w:val="clear" w:color="auto" w:fill="CCEEFF"/>
          </w:tcPr>
          <w:p>
            <w:pPr>
              <w:ind w:left="2560"/>
              <w:spacing w:after="0"/>
              <w:rPr>
                <w:sz w:val="20"/>
                <w:szCs w:val="20"/>
                <w:color w:val="auto"/>
              </w:rPr>
            </w:pPr>
            <w:r>
              <w:rPr>
                <w:rFonts w:ascii="Times New Roman" w:cs="Times New Roman" w:eastAsia="Times New Roman" w:hAnsi="Times New Roman"/>
                <w:sz w:val="18"/>
                <w:szCs w:val="18"/>
                <w:color w:val="auto"/>
              </w:rPr>
              <w:t>Payable</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25,722 thousand yen</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655"/>
        </w:trPr>
        <w:tc>
          <w:tcPr>
            <w:tcW w:w="4200" w:type="dxa"/>
            <w:vAlign w:val="bottom"/>
            <w:tcBorders>
              <w:bottom w:val="single" w:sz="8" w:color="auto"/>
            </w:tcBorders>
          </w:tcPr>
          <w:p>
            <w:pPr>
              <w:spacing w:after="0"/>
              <w:rPr>
                <w:sz w:val="24"/>
                <w:szCs w:val="24"/>
                <w:color w:val="auto"/>
              </w:rPr>
            </w:pPr>
          </w:p>
        </w:tc>
        <w:tc>
          <w:tcPr>
            <w:tcW w:w="4760" w:type="dxa"/>
            <w:vAlign w:val="bottom"/>
            <w:tcBorders>
              <w:bottom w:val="single" w:sz="8" w:color="auto"/>
            </w:tcBorders>
          </w:tcPr>
          <w:p>
            <w:pPr>
              <w:ind w:left="1220"/>
              <w:spacing w:after="0"/>
              <w:rPr>
                <w:sz w:val="20"/>
                <w:szCs w:val="20"/>
                <w:color w:val="auto"/>
              </w:rPr>
            </w:pPr>
            <w:r>
              <w:rPr>
                <w:rFonts w:ascii="Times New Roman" w:cs="Times New Roman" w:eastAsia="Times New Roman" w:hAnsi="Times New Roman"/>
                <w:sz w:val="18"/>
                <w:szCs w:val="18"/>
                <w:color w:val="auto"/>
              </w:rPr>
              <w:t>- 20 -</w:t>
            </w:r>
          </w:p>
        </w:tc>
        <w:tc>
          <w:tcPr>
            <w:tcW w:w="22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24" w:name="page25"/>
    <w:bookmarkEnd w:id="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4.  Notes on the Income Statement</w:t>
            </w:r>
          </w:p>
        </w:tc>
        <w:tc>
          <w:tcPr>
            <w:tcW w:w="4640" w:type="dxa"/>
            <w:vAlign w:val="bottom"/>
          </w:tcPr>
          <w:p>
            <w:pPr>
              <w:spacing w:after="0"/>
              <w:rPr>
                <w:sz w:val="20"/>
                <w:szCs w:val="20"/>
                <w:color w:val="auto"/>
              </w:rPr>
            </w:pPr>
          </w:p>
        </w:tc>
      </w:tr>
      <w:tr>
        <w:trPr>
          <w:trHeight w:val="414"/>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Turnover with affiliated companies</w:t>
            </w:r>
          </w:p>
        </w:tc>
        <w:tc>
          <w:tcPr>
            <w:tcW w:w="4640" w:type="dxa"/>
            <w:vAlign w:val="bottom"/>
          </w:tcPr>
          <w:p>
            <w:pPr>
              <w:spacing w:after="0"/>
              <w:rPr>
                <w:sz w:val="24"/>
                <w:szCs w:val="24"/>
                <w:color w:val="auto"/>
              </w:rPr>
            </w:pPr>
          </w:p>
        </w:tc>
      </w:tr>
      <w:tr>
        <w:trPr>
          <w:trHeight w:val="234"/>
        </w:trPr>
        <w:tc>
          <w:tcPr>
            <w:tcW w:w="6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Turnover by operating transactions</w:t>
            </w:r>
          </w:p>
        </w:tc>
        <w:tc>
          <w:tcPr>
            <w:tcW w:w="4640" w:type="dxa"/>
            <w:vAlign w:val="bottom"/>
          </w:tcPr>
          <w:p>
            <w:pPr>
              <w:spacing w:after="0"/>
              <w:rPr>
                <w:sz w:val="20"/>
                <w:szCs w:val="20"/>
                <w:color w:val="auto"/>
              </w:rPr>
            </w:pPr>
          </w:p>
        </w:tc>
      </w:tr>
      <w:tr>
        <w:trPr>
          <w:trHeight w:val="216"/>
        </w:trPr>
        <w:tc>
          <w:tcPr>
            <w:tcW w:w="66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sales</w:t>
            </w:r>
          </w:p>
        </w:tc>
        <w:tc>
          <w:tcPr>
            <w:tcW w:w="4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8,963,490 thousand yen</w:t>
            </w:r>
          </w:p>
        </w:tc>
      </w:tr>
      <w:tr>
        <w:trPr>
          <w:trHeight w:val="216"/>
        </w:trPr>
        <w:tc>
          <w:tcPr>
            <w:tcW w:w="66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Purchase amount</w:t>
            </w:r>
          </w:p>
        </w:tc>
        <w:tc>
          <w:tcPr>
            <w:tcW w:w="4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10,354 thousand yen</w:t>
            </w:r>
          </w:p>
        </w:tc>
      </w:tr>
      <w:tr>
        <w:trPr>
          <w:trHeight w:val="216"/>
        </w:trPr>
        <w:tc>
          <w:tcPr>
            <w:tcW w:w="66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4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188,348 thousand yen</w:t>
            </w:r>
          </w:p>
        </w:tc>
      </w:tr>
      <w:tr>
        <w:trPr>
          <w:trHeight w:val="234"/>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Turnover of non-business transactions</w:t>
            </w:r>
          </w:p>
        </w:tc>
        <w:tc>
          <w:tcPr>
            <w:tcW w:w="4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15,265 thousand yen</w:t>
            </w:r>
          </w:p>
        </w:tc>
      </w:tr>
    </w:tbl>
    <w:p>
      <w:pPr>
        <w:spacing w:after="0" w:line="179" w:lineRule="exact"/>
        <w:rPr>
          <w:sz w:val="20"/>
          <w:szCs w:val="20"/>
          <w:color w:val="auto"/>
        </w:rPr>
      </w:pPr>
    </w:p>
    <w:p>
      <w:pPr>
        <w:ind w:left="340" w:hanging="332"/>
        <w:spacing w:after="0"/>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on the Statement of Changes in Shareholders’ Equity</w:t>
      </w:r>
    </w:p>
    <w:p>
      <w:pPr>
        <w:spacing w:after="0" w:line="225" w:lineRule="exact"/>
        <w:rPr>
          <w:sz w:val="20"/>
          <w:szCs w:val="20"/>
          <w:color w:val="auto"/>
        </w:rPr>
      </w:pPr>
    </w:p>
    <w:p>
      <w:pPr>
        <w:ind w:left="660" w:hanging="328"/>
        <w:spacing w:after="0"/>
        <w:tabs>
          <w:tab w:leader="none" w:pos="660" w:val="left"/>
        </w:tabs>
        <w:numPr>
          <w:ilvl w:val="0"/>
          <w:numId w:val="4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Type and total number of shares issued as of the end of the current fiscal year</w:t>
      </w:r>
    </w:p>
    <w:p>
      <w:pPr>
        <w:spacing w:after="0" w:line="225" w:lineRule="exact"/>
        <w:rPr>
          <w:sz w:val="20"/>
          <w:szCs w:val="20"/>
          <w:color w:val="auto"/>
        </w:rPr>
      </w:pPr>
    </w:p>
    <w:p>
      <w:pPr>
        <w:spacing w:after="0"/>
        <w:tabs>
          <w:tab w:leader="none" w:pos="9920" w:val="left"/>
        </w:tabs>
        <w:rPr>
          <w:sz w:val="20"/>
          <w:szCs w:val="20"/>
          <w:color w:val="auto"/>
        </w:rPr>
      </w:pPr>
      <w:r>
        <w:rPr>
          <w:rFonts w:ascii="Times New Roman" w:cs="Times New Roman" w:eastAsia="Times New Roman" w:hAnsi="Times New Roman"/>
          <w:sz w:val="18"/>
          <w:szCs w:val="18"/>
          <w:color w:val="auto"/>
        </w:rPr>
        <w:t>Common stock</w:t>
      </w:r>
      <w:r>
        <w:rPr>
          <w:sz w:val="20"/>
          <w:szCs w:val="20"/>
          <w:color w:val="auto"/>
        </w:rPr>
        <w:tab/>
      </w:r>
      <w:r>
        <w:rPr>
          <w:rFonts w:ascii="Times New Roman" w:cs="Times New Roman" w:eastAsia="Times New Roman" w:hAnsi="Times New Roman"/>
          <w:sz w:val="17"/>
          <w:szCs w:val="17"/>
          <w:color w:val="auto"/>
        </w:rPr>
        <w:t>42,327,806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ind w:left="660" w:hanging="328"/>
        <w:spacing w:after="0" w:line="282" w:lineRule="auto"/>
        <w:tabs>
          <w:tab w:leader="none" w:pos="660" w:val="left"/>
        </w:tabs>
        <w:numPr>
          <w:ilvl w:val="0"/>
          <w:numId w:val="4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The type and number of shares for the purpose of stock acquisition rights (excluding those for which the first day of the exercise period has not arrived) as of the end of the fiscal year under review.</w:t>
      </w:r>
    </w:p>
    <w:p>
      <w:pPr>
        <w:spacing w:after="0" w:line="162" w:lineRule="exact"/>
        <w:rPr>
          <w:sz w:val="20"/>
          <w:szCs w:val="20"/>
          <w:color w:val="auto"/>
        </w:rPr>
      </w:pPr>
    </w:p>
    <w:p>
      <w:pPr>
        <w:spacing w:after="0"/>
        <w:tabs>
          <w:tab w:leader="none" w:pos="10000" w:val="left"/>
        </w:tabs>
        <w:rPr>
          <w:sz w:val="20"/>
          <w:szCs w:val="20"/>
          <w:color w:val="auto"/>
        </w:rPr>
      </w:pPr>
      <w:r>
        <w:rPr>
          <w:rFonts w:ascii="Times New Roman" w:cs="Times New Roman" w:eastAsia="Times New Roman" w:hAnsi="Times New Roman"/>
          <w:sz w:val="18"/>
          <w:szCs w:val="18"/>
          <w:color w:val="auto"/>
        </w:rPr>
        <w:t>Common stock</w:t>
      </w:r>
      <w:r>
        <w:rPr>
          <w:sz w:val="20"/>
          <w:szCs w:val="20"/>
          <w:color w:val="auto"/>
        </w:rPr>
        <w:tab/>
      </w:r>
      <w:r>
        <w:rPr>
          <w:rFonts w:ascii="Times New Roman" w:cs="Times New Roman" w:eastAsia="Times New Roman" w:hAnsi="Times New Roman"/>
          <w:sz w:val="18"/>
          <w:szCs w:val="18"/>
          <w:color w:val="auto"/>
        </w:rPr>
        <w:t>6,162,552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ind w:left="340" w:hanging="332"/>
        <w:spacing w:after="0"/>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on Tax Effect Accounting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Breakdown of deferred tax assets and liabilities by major causes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680" w:type="dxa"/>
            <w:vAlign w:val="bottom"/>
          </w:tcPr>
          <w:p>
            <w:pPr>
              <w:spacing w:after="0"/>
              <w:rPr>
                <w:sz w:val="20"/>
                <w:szCs w:val="20"/>
                <w:color w:val="auto"/>
              </w:rPr>
            </w:pPr>
          </w:p>
        </w:tc>
      </w:tr>
      <w:tr>
        <w:trPr>
          <w:trHeight w:val="216"/>
        </w:trPr>
        <w:tc>
          <w:tcPr>
            <w:tcW w:w="9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Paid Business Establishment Tax</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 thousand yen</w:t>
            </w:r>
          </w:p>
        </w:tc>
      </w:tr>
      <w:tr>
        <w:trPr>
          <w:trHeight w:val="216"/>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bad debts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33,302 thousand yen</w:t>
            </w:r>
          </w:p>
        </w:tc>
      </w:tr>
      <w:tr>
        <w:trPr>
          <w:trHeight w:val="216"/>
        </w:trPr>
        <w:tc>
          <w:tcPr>
            <w:tcW w:w="9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Bonus allowance</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 thousand yen</w:t>
            </w:r>
          </w:p>
        </w:tc>
      </w:tr>
      <w:tr>
        <w:trPr>
          <w:trHeight w:val="216"/>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Point Allowance</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 thousand yen</w:t>
            </w:r>
          </w:p>
        </w:tc>
      </w:tr>
      <w:tr>
        <w:trPr>
          <w:trHeight w:val="216"/>
        </w:trPr>
        <w:tc>
          <w:tcPr>
            <w:tcW w:w="9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Commodity Valuation Loss</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-4,916 thousand yen</w:t>
            </w:r>
          </w:p>
        </w:tc>
      </w:tr>
      <w:tr>
        <w:trPr>
          <w:trHeight w:val="216"/>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Asset retirement obligations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26,701 thousand yen</w:t>
            </w:r>
          </w:p>
        </w:tc>
      </w:tr>
      <w:tr>
        <w:trPr>
          <w:trHeight w:val="216"/>
        </w:trPr>
        <w:tc>
          <w:tcPr>
            <w:tcW w:w="9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retirement benefits</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16,215 thousand yen</w:t>
            </w:r>
          </w:p>
        </w:tc>
      </w:tr>
      <w:tr>
        <w:trPr>
          <w:trHeight w:val="223"/>
        </w:trPr>
        <w:tc>
          <w:tcPr>
            <w:tcW w:w="9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Deferred tax asset subtotal</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72,193 thousand yen</w:t>
            </w:r>
          </w:p>
        </w:tc>
      </w:tr>
      <w:tr>
        <w:trPr>
          <w:trHeight w:val="236"/>
        </w:trPr>
        <w:tc>
          <w:tcPr>
            <w:tcW w:w="9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-71,302 thousand yen</w:t>
            </w:r>
          </w:p>
        </w:tc>
      </w:tr>
      <w:tr>
        <w:trPr>
          <w:trHeight w:val="203"/>
        </w:trPr>
        <w:tc>
          <w:tcPr>
            <w:tcW w:w="956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Total deferred tax assets</w:t>
            </w:r>
          </w:p>
        </w:tc>
        <w:tc>
          <w:tcPr>
            <w:tcW w:w="16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891 thousand yen</w:t>
            </w:r>
          </w:p>
        </w:tc>
      </w:tr>
      <w:tr>
        <w:trPr>
          <w:trHeight w:val="216"/>
        </w:trPr>
        <w:tc>
          <w:tcPr>
            <w:tcW w:w="9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680" w:type="dxa"/>
            <w:vAlign w:val="bottom"/>
            <w:shd w:val="clear" w:color="auto" w:fill="CCEEFF"/>
          </w:tcPr>
          <w:p>
            <w:pPr>
              <w:spacing w:after="0"/>
              <w:rPr>
                <w:sz w:val="18"/>
                <w:szCs w:val="18"/>
                <w:color w:val="auto"/>
              </w:rPr>
            </w:pPr>
          </w:p>
        </w:tc>
      </w:tr>
      <w:tr>
        <w:trPr>
          <w:trHeight w:val="216"/>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Retirement costs corresponding to asset retirement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-10,330 thousand yen</w:t>
            </w:r>
          </w:p>
        </w:tc>
      </w:tr>
      <w:tr>
        <w:trPr>
          <w:trHeight w:val="216"/>
        </w:trPr>
        <w:tc>
          <w:tcPr>
            <w:tcW w:w="9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Input tax</w:t>
            </w:r>
          </w:p>
        </w:tc>
        <w:tc>
          <w:tcPr>
            <w:tcW w:w="1680" w:type="dxa"/>
            <w:vAlign w:val="bottom"/>
            <w:shd w:val="clear" w:color="auto" w:fill="CCEEFF"/>
          </w:tcPr>
          <w:p>
            <w:pPr>
              <w:spacing w:after="0"/>
              <w:rPr>
                <w:sz w:val="18"/>
                <w:szCs w:val="18"/>
                <w:color w:val="auto"/>
              </w:rPr>
            </w:pPr>
          </w:p>
        </w:tc>
      </w:tr>
      <w:tr>
        <w:trPr>
          <w:trHeight w:val="223"/>
        </w:trPr>
        <w:tc>
          <w:tcPr>
            <w:tcW w:w="9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Damages Received</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-437,154 thousand yen</w:t>
            </w:r>
          </w:p>
        </w:tc>
      </w:tr>
      <w:tr>
        <w:trPr>
          <w:trHeight w:val="236"/>
        </w:trPr>
        <w:tc>
          <w:tcPr>
            <w:tcW w:w="9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-447,484 thousand yen</w:t>
            </w:r>
          </w:p>
        </w:tc>
      </w:tr>
      <w:tr>
        <w:trPr>
          <w:trHeight w:val="221"/>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-446,593 thousand yen</w:t>
            </w:r>
          </w:p>
        </w:tc>
      </w:tr>
    </w:tbl>
    <w:p>
      <w:pPr>
        <w:spacing w:after="0" w:line="179" w:lineRule="exact"/>
        <w:rPr>
          <w:sz w:val="20"/>
          <w:szCs w:val="20"/>
          <w:color w:val="auto"/>
        </w:rPr>
      </w:pPr>
    </w:p>
    <w:p>
      <w:pPr>
        <w:ind w:left="660" w:hanging="328"/>
        <w:spacing w:after="0"/>
        <w:tabs>
          <w:tab w:leader="none" w:pos="66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Revision of the amount of deferred tax assets and deferred tax liabilities due to changes in the rate of corporate tax, etc.</w:t>
      </w:r>
    </w:p>
    <w:p>
      <w:pPr>
        <w:spacing w:after="0" w:line="225" w:lineRule="exact"/>
        <w:rPr>
          <w:rFonts w:ascii="Times New Roman" w:cs="Times New Roman" w:eastAsia="Times New Roman" w:hAnsi="Times New Roman"/>
          <w:sz w:val="18"/>
          <w:szCs w:val="18"/>
          <w:color w:val="auto"/>
        </w:rPr>
      </w:pPr>
    </w:p>
    <w:p>
      <w:pPr>
        <w:jc w:val="both"/>
        <w:ind w:left="6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conjunction with the introduction of the Special Defense Corporation Tax (effective for fiscal years beginning on or after April 1, 2026), deferred tax assets and deferred tax liabilities related to temporary differences expected to be resolved in the following fiscal year or later are calculated using a statutory effective tax rate of 35.43%, up from 34.59%.As a result of this change, deferred tax liabilities (net of deferred tax assets) for the current fiscal year increased by 10,626 thousand yen, and the income tax adjustment increased by the same amount.</w:t>
      </w:r>
    </w:p>
    <w:p>
      <w:pPr>
        <w:spacing w:after="0" w:line="17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on Financial Instruments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Matters related to the status of financial instruments</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Borrowings are used for working capital (mainly short-term) and capital investment funds (long-term).</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Matters related to the market value of financial instruments</w:t>
      </w:r>
    </w:p>
    <w:p>
      <w:pPr>
        <w:spacing w:after="0" w:line="225" w:lineRule="exact"/>
        <w:rPr>
          <w:rFonts w:ascii="Times New Roman" w:cs="Times New Roman" w:eastAsia="Times New Roman" w:hAnsi="Times New Roman"/>
          <w:sz w:val="18"/>
          <w:szCs w:val="18"/>
          <w:color w:val="auto"/>
        </w:rPr>
      </w:pPr>
    </w:p>
    <w:p>
      <w:pPr>
        <w:ind w:lef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March 31, 2026 (the closing date of the current fiscal year), the balance sheet amount, market value, and the difference between these amounts are as follows.</w:t>
      </w:r>
    </w:p>
    <w:p>
      <w:pPr>
        <w:spacing w:after="0" w:line="161" w:lineRule="exact"/>
        <w:rPr>
          <w:rFonts w:ascii="Times New Roman" w:cs="Times New Roman" w:eastAsia="Times New Roman" w:hAnsi="Times New Roman"/>
          <w:sz w:val="18"/>
          <w:szCs w:val="18"/>
          <w:color w:val="auto"/>
        </w:rPr>
      </w:pPr>
    </w:p>
    <w:p>
      <w:pPr>
        <w:ind w:lef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notes are omitted for cash, and notes are omitted for deposits, accounts receivable, accounts payable, and short-term borrowings because they are settled in a short period of time, so the market value approximates the book value.</w:t>
      </w:r>
    </w:p>
    <w:p>
      <w:pPr>
        <w:spacing w:after="0" w:line="377"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2"/>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6980" w:type="dxa"/>
            <w:vAlign w:val="bottom"/>
          </w:tcPr>
          <w:p>
            <w:pPr>
              <w:spacing w:after="0"/>
              <w:rPr>
                <w:sz w:val="20"/>
                <w:szCs w:val="20"/>
                <w:color w:val="auto"/>
              </w:rPr>
            </w:pPr>
          </w:p>
        </w:tc>
        <w:tc>
          <w:tcPr>
            <w:tcW w:w="13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color w:val="auto"/>
                <w:w w:val="98"/>
              </w:rPr>
              <w:t>Amount</w:t>
            </w: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w w:val="97"/>
              </w:rPr>
              <w:t>(Unit: 1,000 yen)</w:t>
            </w:r>
          </w:p>
        </w:tc>
        <w:tc>
          <w:tcPr>
            <w:tcW w:w="0" w:type="dxa"/>
            <w:vAlign w:val="bottom"/>
          </w:tcPr>
          <w:p>
            <w:pPr>
              <w:spacing w:after="0"/>
              <w:rPr>
                <w:sz w:val="1"/>
                <w:szCs w:val="1"/>
                <w:color w:val="auto"/>
              </w:rPr>
            </w:pPr>
          </w:p>
        </w:tc>
      </w:tr>
      <w:tr>
        <w:trPr>
          <w:trHeight w:val="198"/>
        </w:trPr>
        <w:tc>
          <w:tcPr>
            <w:tcW w:w="340" w:type="dxa"/>
            <w:vAlign w:val="bottom"/>
          </w:tcPr>
          <w:p>
            <w:pPr>
              <w:spacing w:after="0"/>
              <w:rPr>
                <w:sz w:val="17"/>
                <w:szCs w:val="17"/>
                <w:color w:val="auto"/>
              </w:rPr>
            </w:pPr>
          </w:p>
        </w:tc>
        <w:tc>
          <w:tcPr>
            <w:tcW w:w="6980" w:type="dxa"/>
            <w:vAlign w:val="bottom"/>
          </w:tcPr>
          <w:p>
            <w:pPr>
              <w:spacing w:after="0"/>
              <w:rPr>
                <w:sz w:val="17"/>
                <w:szCs w:val="17"/>
                <w:color w:val="auto"/>
              </w:rPr>
            </w:pPr>
          </w:p>
        </w:tc>
        <w:tc>
          <w:tcPr>
            <w:tcW w:w="1380" w:type="dxa"/>
            <w:vAlign w:val="bottom"/>
            <w:gridSpan w:val="2"/>
            <w:vMerge w:val="continue"/>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8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recorded on the</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8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balance sheet</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Market</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40" w:type="dxa"/>
            <w:vAlign w:val="bottom"/>
          </w:tcPr>
          <w:p>
            <w:pPr>
              <w:spacing w:after="0"/>
              <w:rPr>
                <w:sz w:val="20"/>
                <w:szCs w:val="20"/>
                <w:color w:val="auto"/>
              </w:rPr>
            </w:pPr>
          </w:p>
        </w:tc>
        <w:tc>
          <w:tcPr>
            <w:tcW w:w="698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w:t>
            </w:r>
          </w:p>
        </w:tc>
        <w:tc>
          <w:tcPr>
            <w:tcW w:w="240" w:type="dxa"/>
            <w:vAlign w:val="bottom"/>
          </w:tcPr>
          <w:p>
            <w:pPr>
              <w:spacing w:after="0"/>
              <w:rPr>
                <w:sz w:val="20"/>
                <w:szCs w:val="20"/>
                <w:color w:val="auto"/>
              </w:rPr>
            </w:pP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price(*1)</w:t>
            </w:r>
          </w:p>
        </w:tc>
        <w:tc>
          <w:tcPr>
            <w:tcW w:w="80" w:type="dxa"/>
            <w:vAlign w:val="bottom"/>
          </w:tcPr>
          <w:p>
            <w:pPr>
              <w:spacing w:after="0"/>
              <w:rPr>
                <w:sz w:val="20"/>
                <w:szCs w:val="20"/>
                <w:color w:val="auto"/>
              </w:rPr>
            </w:pPr>
          </w:p>
        </w:tc>
        <w:tc>
          <w:tcPr>
            <w:tcW w:w="12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Difference</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borrowings (*2)</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(668,220)</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(663,478)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6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Liabilities are shown in parentheses.</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6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Includes long-term loans that are scheduled to be repaid within one year.</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 How to calculate the market value of a financial instrument</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Debt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Long-term borrowings</w:t>
      </w:r>
    </w:p>
    <w:p>
      <w:pPr>
        <w:spacing w:after="0" w:line="225"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market value of the long-term borrowing period is calculated by discounting the total amount of principal and interest by the interest rate expected if the same new borrowing were made.</w:t>
      </w:r>
    </w:p>
    <w:p>
      <w:pPr>
        <w:spacing w:after="0" w:line="162"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In addition, among long-term loans, those with variable interest rates are based on the book value because the market interest rate is reflected in the short term (within one year) and the market value is approximate to the book value unless the Company’s credit position differs significantly after execution.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2) Amount recorded on the balance sheet of stocks without market prices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340" w:type="dxa"/>
            <w:vAlign w:val="bottom"/>
            <w:gridSpan w:val="4"/>
          </w:tcPr>
          <w:p>
            <w:pPr>
              <w:jc w:val="center"/>
              <w:ind w:left="10"/>
              <w:spacing w:after="0"/>
              <w:rPr>
                <w:sz w:val="20"/>
                <w:szCs w:val="20"/>
                <w:color w:val="auto"/>
              </w:rPr>
            </w:pPr>
            <w:r>
              <w:rPr>
                <w:rFonts w:ascii="Times New Roman" w:cs="Times New Roman" w:eastAsia="Times New Roman" w:hAnsi="Times New Roman"/>
                <w:sz w:val="18"/>
                <w:szCs w:val="18"/>
                <w:color w:val="auto"/>
                <w:w w:val="99"/>
              </w:rPr>
              <w:t>(Unit: 1,000 yen)</w:t>
            </w:r>
          </w:p>
        </w:tc>
        <w:tc>
          <w:tcPr>
            <w:tcW w:w="0" w:type="dxa"/>
            <w:vAlign w:val="bottom"/>
          </w:tcPr>
          <w:p>
            <w:pPr>
              <w:spacing w:after="0"/>
              <w:rPr>
                <w:sz w:val="1"/>
                <w:szCs w:val="1"/>
                <w:color w:val="auto"/>
              </w:rPr>
            </w:pPr>
          </w:p>
        </w:tc>
      </w:tr>
      <w:tr>
        <w:trPr>
          <w:trHeight w:val="241"/>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Ledger Accounts</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Balance sheet</w:t>
            </w:r>
          </w:p>
        </w:tc>
        <w:tc>
          <w:tcPr>
            <w:tcW w:w="0" w:type="dxa"/>
            <w:vAlign w:val="bottom"/>
          </w:tcPr>
          <w:p>
            <w:pPr>
              <w:spacing w:after="0"/>
              <w:rPr>
                <w:sz w:val="1"/>
                <w:szCs w:val="1"/>
                <w:color w:val="auto"/>
              </w:rPr>
            </w:pPr>
          </w:p>
        </w:tc>
      </w:tr>
      <w:tr>
        <w:trPr>
          <w:trHeight w:val="216"/>
        </w:trPr>
        <w:tc>
          <w:tcPr>
            <w:tcW w:w="3300" w:type="dxa"/>
            <w:vAlign w:val="bottom"/>
            <w:tcBorders>
              <w:top w:val="single" w:sz="8" w:color="auto"/>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of affiliated companies</w:t>
            </w: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682,673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6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Shares of affiliated companies are not subject to market value disclosure because they do not have a market price.</w:t>
            </w: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3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8.  Notes on Related Party Transactions</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40" w:type="dxa"/>
            <w:vAlign w:val="bottom"/>
            <w:gridSpan w:val="6"/>
          </w:tcPr>
          <w:p>
            <w:pPr>
              <w:ind w:left="340"/>
              <w:spacing w:after="0"/>
              <w:rPr>
                <w:sz w:val="20"/>
                <w:szCs w:val="20"/>
                <w:color w:val="auto"/>
              </w:rPr>
            </w:pPr>
            <w:r>
              <w:rPr>
                <w:rFonts w:ascii="Times New Roman" w:cs="Times New Roman" w:eastAsia="Times New Roman" w:hAnsi="Times New Roman"/>
                <w:sz w:val="18"/>
                <w:szCs w:val="18"/>
                <w:color w:val="auto"/>
              </w:rPr>
              <w:t>(1) Parent Company and Major Corporate Shareholders</w:t>
            </w: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color w:val="auto"/>
                <w:w w:val="97"/>
              </w:rPr>
              <w:t>Voting rights,</w:t>
            </w: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40" w:type="dxa"/>
            <w:vAlign w:val="bottom"/>
            <w:gridSpan w:val="4"/>
          </w:tcPr>
          <w:p>
            <w:pPr>
              <w:jc w:val="center"/>
              <w:ind w:left="10"/>
              <w:spacing w:after="0"/>
              <w:rPr>
                <w:sz w:val="20"/>
                <w:szCs w:val="20"/>
                <w:color w:val="auto"/>
              </w:rPr>
            </w:pPr>
            <w:r>
              <w:rPr>
                <w:rFonts w:ascii="Times New Roman" w:cs="Times New Roman" w:eastAsia="Times New Roman" w:hAnsi="Times New Roman"/>
                <w:sz w:val="18"/>
                <w:szCs w:val="18"/>
                <w:color w:val="auto"/>
                <w:w w:val="99"/>
              </w:rPr>
              <w:t>(Unit: 1,000 yen)</w:t>
            </w:r>
          </w:p>
        </w:tc>
        <w:tc>
          <w:tcPr>
            <w:tcW w:w="0" w:type="dxa"/>
            <w:vAlign w:val="bottom"/>
          </w:tcPr>
          <w:p>
            <w:pPr>
              <w:spacing w:after="0"/>
              <w:rPr>
                <w:sz w:val="1"/>
                <w:szCs w:val="1"/>
                <w:color w:val="auto"/>
              </w:rPr>
            </w:pPr>
          </w:p>
        </w:tc>
      </w:tr>
      <w:tr>
        <w:trPr>
          <w:trHeight w:val="198"/>
        </w:trPr>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vMerge w:val="continue"/>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etc.</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Balance at the</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Name of</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Ownership</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Details of the</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Trading</w:t>
            </w: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Transaction</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end of the</w:t>
            </w:r>
          </w:p>
        </w:tc>
        <w:tc>
          <w:tcPr>
            <w:tcW w:w="0" w:type="dxa"/>
            <w:vAlign w:val="bottom"/>
          </w:tcPr>
          <w:p>
            <w:pPr>
              <w:spacing w:after="0"/>
              <w:rPr>
                <w:sz w:val="1"/>
                <w:szCs w:val="1"/>
                <w:color w:val="auto"/>
              </w:rPr>
            </w:pPr>
          </w:p>
        </w:tc>
      </w:tr>
      <w:tr>
        <w:trPr>
          <w:trHeight w:val="241"/>
        </w:trPr>
        <w:tc>
          <w:tcPr>
            <w:tcW w:w="1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Relationship</w:t>
            </w: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company, etc.</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Percentage</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transaction</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Subjects</w:t>
            </w: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Amount</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Accounts</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period</w:t>
            </w:r>
          </w:p>
        </w:tc>
        <w:tc>
          <w:tcPr>
            <w:tcW w:w="0" w:type="dxa"/>
            <w:vAlign w:val="bottom"/>
          </w:tcPr>
          <w:p>
            <w:pPr>
              <w:spacing w:after="0"/>
              <w:rPr>
                <w:sz w:val="1"/>
                <w:szCs w:val="1"/>
                <w:color w:val="auto"/>
              </w:rPr>
            </w:pPr>
          </w:p>
        </w:tc>
      </w:tr>
      <w:tr>
        <w:trPr>
          <w:trHeight w:val="198"/>
        </w:trPr>
        <w:tc>
          <w:tcPr>
            <w:tcW w:w="18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Secondment</w:t>
            </w:r>
          </w:p>
        </w:tc>
        <w:tc>
          <w:tcPr>
            <w:tcW w:w="10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Selling, general</w:t>
            </w:r>
          </w:p>
        </w:tc>
        <w:tc>
          <w:tcPr>
            <w:tcW w:w="1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fee</w:t>
            </w:r>
          </w:p>
        </w:tc>
        <w:tc>
          <w:tcPr>
            <w:tcW w:w="14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and</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Payables</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940" w:type="dxa"/>
            <w:vAlign w:val="bottom"/>
            <w:gridSpan w:val="2"/>
            <w:vMerge w:val="restart"/>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Major Shareholder</w:t>
            </w:r>
          </w:p>
        </w:tc>
        <w:tc>
          <w:tcPr>
            <w:tcW w:w="1360" w:type="dxa"/>
            <w:vAlign w:val="bottom"/>
            <w:gridSpan w:val="2"/>
            <w:vMerge w:val="restart"/>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Tokushin</w:t>
            </w:r>
          </w:p>
        </w:tc>
        <w:tc>
          <w:tcPr>
            <w:tcW w:w="134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By all direct</w:t>
            </w:r>
          </w:p>
        </w:tc>
        <w:tc>
          <w:tcPr>
            <w:tcW w:w="1440" w:type="dxa"/>
            <w:vAlign w:val="bottom"/>
            <w:gridSpan w:val="2"/>
            <w:vMerge w:val="restart"/>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Vehicle rental</w:t>
            </w:r>
          </w:p>
        </w:tc>
        <w:tc>
          <w:tcPr>
            <w:tcW w:w="144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administrative</w:t>
            </w:r>
          </w:p>
        </w:tc>
        <w:tc>
          <w:tcPr>
            <w:tcW w:w="10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20" w:type="dxa"/>
            <w:vAlign w:val="bottom"/>
            <w:vMerge w:val="continue"/>
            <w:shd w:val="clear" w:color="auto" w:fill="CCEEFF"/>
          </w:tcPr>
          <w:p>
            <w:pPr>
              <w:spacing w:after="0"/>
              <w:rPr>
                <w:sz w:val="9"/>
                <w:szCs w:val="9"/>
                <w:color w:val="auto"/>
              </w:rPr>
            </w:pPr>
          </w:p>
        </w:tc>
        <w:tc>
          <w:tcPr>
            <w:tcW w:w="1340" w:type="dxa"/>
            <w:vAlign w:val="bottom"/>
            <w:gridSpan w:val="4"/>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1,025</w:t>
            </w:r>
          </w:p>
        </w:tc>
        <w:tc>
          <w:tcPr>
            <w:tcW w:w="0" w:type="dxa"/>
            <w:vAlign w:val="bottom"/>
          </w:tcPr>
          <w:p>
            <w:pPr>
              <w:spacing w:after="0"/>
              <w:rPr>
                <w:sz w:val="1"/>
                <w:szCs w:val="1"/>
                <w:color w:val="auto"/>
              </w:rPr>
            </w:pPr>
          </w:p>
        </w:tc>
      </w:tr>
      <w:tr>
        <w:trPr>
          <w:trHeight w:val="108"/>
        </w:trPr>
        <w:tc>
          <w:tcPr>
            <w:tcW w:w="1940" w:type="dxa"/>
            <w:vAlign w:val="bottom"/>
            <w:gridSpan w:val="2"/>
            <w:vMerge w:val="continue"/>
            <w:shd w:val="clear" w:color="auto" w:fill="CCEEFF"/>
          </w:tcPr>
          <w:p>
            <w:pPr>
              <w:spacing w:after="0"/>
              <w:rPr>
                <w:sz w:val="9"/>
                <w:szCs w:val="9"/>
                <w:color w:val="auto"/>
              </w:rPr>
            </w:pPr>
          </w:p>
        </w:tc>
        <w:tc>
          <w:tcPr>
            <w:tcW w:w="1360" w:type="dxa"/>
            <w:vAlign w:val="bottom"/>
            <w:gridSpan w:val="2"/>
            <w:vMerge w:val="continue"/>
            <w:shd w:val="clear" w:color="auto" w:fill="CCEEFF"/>
          </w:tcPr>
          <w:p>
            <w:pPr>
              <w:spacing w:after="0"/>
              <w:rPr>
                <w:sz w:val="9"/>
                <w:szCs w:val="9"/>
                <w:color w:val="auto"/>
              </w:rPr>
            </w:pPr>
          </w:p>
        </w:tc>
        <w:tc>
          <w:tcPr>
            <w:tcW w:w="1340" w:type="dxa"/>
            <w:vAlign w:val="bottom"/>
            <w:gridSpan w:val="2"/>
            <w:vMerge w:val="continue"/>
            <w:shd w:val="clear" w:color="auto" w:fill="CCEEFF"/>
          </w:tcPr>
          <w:p>
            <w:pPr>
              <w:spacing w:after="0"/>
              <w:rPr>
                <w:sz w:val="9"/>
                <w:szCs w:val="9"/>
                <w:color w:val="auto"/>
              </w:rPr>
            </w:pPr>
          </w:p>
        </w:tc>
        <w:tc>
          <w:tcPr>
            <w:tcW w:w="1440" w:type="dxa"/>
            <w:vAlign w:val="bottom"/>
            <w:gridSpan w:val="2"/>
            <w:vMerge w:val="continue"/>
            <w:shd w:val="clear" w:color="auto" w:fill="CCEEFF"/>
          </w:tcPr>
          <w:p>
            <w:pPr>
              <w:spacing w:after="0"/>
              <w:rPr>
                <w:sz w:val="9"/>
                <w:szCs w:val="9"/>
                <w:color w:val="auto"/>
              </w:rPr>
            </w:pPr>
          </w:p>
        </w:tc>
        <w:tc>
          <w:tcPr>
            <w:tcW w:w="1440" w:type="dxa"/>
            <w:vAlign w:val="bottom"/>
            <w:gridSpan w:val="2"/>
            <w:vMerge w:val="continue"/>
            <w:shd w:val="clear" w:color="auto" w:fill="CCEEFF"/>
          </w:tcPr>
          <w:p>
            <w:pPr>
              <w:spacing w:after="0"/>
              <w:rPr>
                <w:sz w:val="9"/>
                <w:szCs w:val="9"/>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13,904</w:t>
            </w:r>
          </w:p>
        </w:tc>
        <w:tc>
          <w:tcPr>
            <w:tcW w:w="120" w:type="dxa"/>
            <w:vAlign w:val="bottom"/>
            <w:shd w:val="clear" w:color="auto" w:fill="CCEEFF"/>
          </w:tcPr>
          <w:p>
            <w:pPr>
              <w:spacing w:after="0"/>
              <w:rPr>
                <w:sz w:val="9"/>
                <w:szCs w:val="9"/>
                <w:color w:val="auto"/>
              </w:rPr>
            </w:pPr>
          </w:p>
        </w:tc>
        <w:tc>
          <w:tcPr>
            <w:tcW w:w="12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Long-term</w:t>
            </w:r>
          </w:p>
        </w:tc>
        <w:tc>
          <w:tcPr>
            <w:tcW w:w="1340" w:type="dxa"/>
            <w:vAlign w:val="bottom"/>
            <w:gridSpan w:val="4"/>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940" w:type="dxa"/>
            <w:vAlign w:val="bottom"/>
            <w:gridSpan w:val="2"/>
            <w:vMerge w:val="restart"/>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(Corporation, etc.)</w:t>
            </w:r>
          </w:p>
        </w:tc>
        <w:tc>
          <w:tcPr>
            <w:tcW w:w="1360" w:type="dxa"/>
            <w:vAlign w:val="bottom"/>
            <w:gridSpan w:val="2"/>
            <w:vMerge w:val="restart"/>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G.K.</w:t>
            </w:r>
          </w:p>
        </w:tc>
        <w:tc>
          <w:tcPr>
            <w:tcW w:w="12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32.07%</w:t>
            </w:r>
          </w:p>
        </w:tc>
        <w:tc>
          <w:tcPr>
            <w:tcW w:w="100" w:type="dxa"/>
            <w:vAlign w:val="bottom"/>
            <w:shd w:val="clear" w:color="auto" w:fill="CCEEFF"/>
          </w:tcPr>
          <w:p>
            <w:pPr>
              <w:spacing w:after="0"/>
              <w:rPr>
                <w:sz w:val="9"/>
                <w:szCs w:val="9"/>
                <w:color w:val="auto"/>
              </w:rPr>
            </w:pPr>
          </w:p>
        </w:tc>
        <w:tc>
          <w:tcPr>
            <w:tcW w:w="144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expenses</w:t>
            </w:r>
          </w:p>
        </w:tc>
        <w:tc>
          <w:tcPr>
            <w:tcW w:w="144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expenses</w:t>
            </w:r>
          </w:p>
        </w:tc>
        <w:tc>
          <w:tcPr>
            <w:tcW w:w="104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20" w:type="dxa"/>
            <w:vAlign w:val="bottom"/>
            <w:vMerge w:val="continue"/>
            <w:shd w:val="clear" w:color="auto" w:fill="CCEEFF"/>
          </w:tcPr>
          <w:p>
            <w:pPr>
              <w:spacing w:after="0"/>
              <w:rPr>
                <w:sz w:val="9"/>
                <w:szCs w:val="9"/>
                <w:color w:val="auto"/>
              </w:rPr>
            </w:pPr>
          </w:p>
        </w:tc>
        <w:tc>
          <w:tcPr>
            <w:tcW w:w="1340" w:type="dxa"/>
            <w:vAlign w:val="bottom"/>
            <w:gridSpan w:val="4"/>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300,000</w:t>
            </w:r>
          </w:p>
        </w:tc>
        <w:tc>
          <w:tcPr>
            <w:tcW w:w="0" w:type="dxa"/>
            <w:vAlign w:val="bottom"/>
          </w:tcPr>
          <w:p>
            <w:pPr>
              <w:spacing w:after="0"/>
              <w:rPr>
                <w:sz w:val="1"/>
                <w:szCs w:val="1"/>
                <w:color w:val="auto"/>
              </w:rPr>
            </w:pPr>
          </w:p>
        </w:tc>
      </w:tr>
      <w:tr>
        <w:trPr>
          <w:trHeight w:val="108"/>
        </w:trPr>
        <w:tc>
          <w:tcPr>
            <w:tcW w:w="1940" w:type="dxa"/>
            <w:vAlign w:val="bottom"/>
            <w:gridSpan w:val="2"/>
            <w:vMerge w:val="continue"/>
            <w:shd w:val="clear" w:color="auto" w:fill="CCEEFF"/>
          </w:tcPr>
          <w:p>
            <w:pPr>
              <w:spacing w:after="0"/>
              <w:rPr>
                <w:sz w:val="9"/>
                <w:szCs w:val="9"/>
                <w:color w:val="auto"/>
              </w:rPr>
            </w:pPr>
          </w:p>
        </w:tc>
        <w:tc>
          <w:tcPr>
            <w:tcW w:w="1360" w:type="dxa"/>
            <w:vAlign w:val="bottom"/>
            <w:gridSpan w:val="2"/>
            <w:vMerge w:val="continue"/>
            <w:shd w:val="clear" w:color="auto" w:fill="CCEEFF"/>
          </w:tcPr>
          <w:p>
            <w:pPr>
              <w:spacing w:after="0"/>
              <w:rPr>
                <w:sz w:val="9"/>
                <w:szCs w:val="9"/>
                <w:color w:val="auto"/>
              </w:rPr>
            </w:pPr>
          </w:p>
        </w:tc>
        <w:tc>
          <w:tcPr>
            <w:tcW w:w="124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40" w:type="dxa"/>
            <w:vAlign w:val="bottom"/>
            <w:gridSpan w:val="2"/>
            <w:vMerge w:val="continue"/>
            <w:shd w:val="clear" w:color="auto" w:fill="CCEEFF"/>
          </w:tcPr>
          <w:p>
            <w:pPr>
              <w:spacing w:after="0"/>
              <w:rPr>
                <w:sz w:val="9"/>
                <w:szCs w:val="9"/>
                <w:color w:val="auto"/>
              </w:rPr>
            </w:pPr>
          </w:p>
        </w:tc>
        <w:tc>
          <w:tcPr>
            <w:tcW w:w="1440" w:type="dxa"/>
            <w:vAlign w:val="bottom"/>
            <w:gridSpan w:val="2"/>
            <w:vMerge w:val="continue"/>
            <w:shd w:val="clear" w:color="auto" w:fill="CCEEFF"/>
          </w:tcPr>
          <w:p>
            <w:pPr>
              <w:spacing w:after="0"/>
              <w:rPr>
                <w:sz w:val="9"/>
                <w:szCs w:val="9"/>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953,424</w:t>
            </w:r>
          </w:p>
        </w:tc>
        <w:tc>
          <w:tcPr>
            <w:tcW w:w="120" w:type="dxa"/>
            <w:vAlign w:val="bottom"/>
            <w:shd w:val="clear" w:color="auto" w:fill="CCEEFF"/>
          </w:tcPr>
          <w:p>
            <w:pPr>
              <w:spacing w:after="0"/>
              <w:rPr>
                <w:sz w:val="9"/>
                <w:szCs w:val="9"/>
                <w:color w:val="auto"/>
              </w:rPr>
            </w:pPr>
          </w:p>
        </w:tc>
        <w:tc>
          <w:tcPr>
            <w:tcW w:w="12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borrowings</w:t>
            </w:r>
          </w:p>
        </w:tc>
        <w:tc>
          <w:tcPr>
            <w:tcW w:w="1340" w:type="dxa"/>
            <w:vAlign w:val="bottom"/>
            <w:gridSpan w:val="4"/>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8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4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Borrowing of</w:t>
            </w:r>
          </w:p>
        </w:tc>
        <w:tc>
          <w:tcPr>
            <w:tcW w:w="144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Interest</w:t>
            </w:r>
          </w:p>
        </w:tc>
        <w:tc>
          <w:tcPr>
            <w:tcW w:w="1040" w:type="dxa"/>
            <w:vAlign w:val="bottom"/>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20" w:type="dxa"/>
            <w:vAlign w:val="bottom"/>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18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40" w:type="dxa"/>
            <w:vAlign w:val="bottom"/>
            <w:gridSpan w:val="2"/>
            <w:vMerge w:val="continue"/>
            <w:shd w:val="clear" w:color="auto" w:fill="CCEEFF"/>
          </w:tcPr>
          <w:p>
            <w:pPr>
              <w:spacing w:after="0"/>
              <w:rPr>
                <w:sz w:val="7"/>
                <w:szCs w:val="7"/>
                <w:color w:val="auto"/>
              </w:rPr>
            </w:pPr>
          </w:p>
        </w:tc>
        <w:tc>
          <w:tcPr>
            <w:tcW w:w="1440" w:type="dxa"/>
            <w:vAlign w:val="bottom"/>
            <w:gridSpan w:val="2"/>
            <w:vMerge w:val="continue"/>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1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funds</w:t>
            </w:r>
          </w:p>
        </w:tc>
        <w:tc>
          <w:tcPr>
            <w:tcW w:w="14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expense</w:t>
            </w: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Transaction conditions and policy for determining transaction conditions, etc.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(Note 1) Prices and other terms and conditions are determined through price negotiations, etc., considering market performance.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 w:name="page28"/>
    <w:bookmarkEnd w:id="27"/>
    <w:p>
      <w:pPr>
        <w:ind w:left="340"/>
        <w:spacing w:after="0"/>
        <w:rPr>
          <w:sz w:val="20"/>
          <w:szCs w:val="20"/>
          <w:color w:val="auto"/>
        </w:rPr>
      </w:pPr>
      <w:r>
        <w:rPr>
          <w:rFonts w:ascii="Times New Roman" w:cs="Times New Roman" w:eastAsia="Times New Roman" w:hAnsi="Times New Roman"/>
          <w:sz w:val="18"/>
          <w:szCs w:val="18"/>
          <w:color w:val="auto"/>
        </w:rPr>
        <w:t>(2) Subsidiaries and Affiliates, etc.</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Voting</w:t>
            </w:r>
          </w:p>
        </w:tc>
      </w:tr>
      <w:tr>
        <w:trPr>
          <w:trHeight w:val="216"/>
        </w:trPr>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Name of</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rights, etc.</w:t>
            </w:r>
          </w:p>
        </w:tc>
      </w:tr>
      <w:tr>
        <w:trPr>
          <w:trHeight w:val="216"/>
        </w:trPr>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company,</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Ownership</w:t>
            </w:r>
          </w:p>
        </w:tc>
      </w:tr>
      <w:tr>
        <w:trPr>
          <w:trHeight w:val="241"/>
        </w:trPr>
        <w:tc>
          <w:tcPr>
            <w:tcW w:w="16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Relationship</w:t>
            </w:r>
          </w:p>
        </w:tc>
        <w:tc>
          <w:tcPr>
            <w:tcW w:w="100" w:type="dxa"/>
            <w:vAlign w:val="bottom"/>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etc.</w:t>
            </w:r>
          </w:p>
        </w:tc>
        <w:tc>
          <w:tcPr>
            <w:tcW w:w="100" w:type="dxa"/>
            <w:vAlign w:val="bottom"/>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Percentage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2060"/>
        <w:spacing w:after="0"/>
        <w:tabs>
          <w:tab w:leader="none" w:pos="3260" w:val="left"/>
        </w:tabs>
        <w:rPr>
          <w:sz w:val="20"/>
          <w:szCs w:val="20"/>
          <w:color w:val="auto"/>
        </w:rPr>
      </w:pPr>
      <w:r>
        <w:rPr>
          <w:rFonts w:ascii="Times New Roman" w:cs="Times New Roman" w:eastAsia="Times New Roman" w:hAnsi="Times New Roman"/>
          <w:sz w:val="18"/>
          <w:szCs w:val="18"/>
          <w:color w:val="auto"/>
        </w:rPr>
        <w:t>Tokyo</w:t>
      </w:r>
      <w:r>
        <w:rPr>
          <w:sz w:val="20"/>
          <w:szCs w:val="20"/>
          <w:color w:val="auto"/>
        </w:rPr>
        <w:tab/>
      </w:r>
      <w:r>
        <w:rPr>
          <w:rFonts w:ascii="Times New Roman" w:cs="Times New Roman" w:eastAsia="Times New Roman" w:hAnsi="Times New Roman"/>
          <w:sz w:val="18"/>
          <w:szCs w:val="18"/>
          <w:color w:val="auto"/>
        </w:rPr>
        <w:t>Owned</w:t>
      </w:r>
    </w:p>
    <w:p>
      <w:pPr>
        <w:spacing w:after="0" w:line="27" w:lineRule="exact"/>
        <w:rPr>
          <w:sz w:val="20"/>
          <w:szCs w:val="20"/>
          <w:color w:val="auto"/>
        </w:rPr>
      </w:pPr>
    </w:p>
    <w:p>
      <w:pPr>
        <w:ind w:left="380"/>
        <w:spacing w:after="0"/>
        <w:tabs>
          <w:tab w:leader="none" w:pos="1940" w:val="left"/>
          <w:tab w:leader="none" w:pos="3240" w:val="left"/>
        </w:tabs>
        <w:rPr>
          <w:sz w:val="20"/>
          <w:szCs w:val="20"/>
          <w:color w:val="auto"/>
        </w:rPr>
      </w:pPr>
      <w:r>
        <w:rPr>
          <w:rFonts w:ascii="Times New Roman" w:cs="Times New Roman" w:eastAsia="Times New Roman" w:hAnsi="Times New Roman"/>
          <w:sz w:val="18"/>
          <w:szCs w:val="18"/>
          <w:color w:val="auto"/>
        </w:rPr>
        <w:t>Subsid-iary</w:t>
      </w:r>
      <w:r>
        <w:rPr>
          <w:sz w:val="20"/>
          <w:szCs w:val="20"/>
          <w:color w:val="auto"/>
        </w:rPr>
        <w:tab/>
      </w:r>
      <w:r>
        <w:rPr>
          <w:rFonts w:ascii="Times New Roman" w:cs="Times New Roman" w:eastAsia="Times New Roman" w:hAnsi="Times New Roman"/>
          <w:sz w:val="18"/>
          <w:szCs w:val="18"/>
          <w:color w:val="auto"/>
        </w:rPr>
        <w:t>Lifestyle</w:t>
      </w:r>
      <w:r>
        <w:rPr>
          <w:sz w:val="20"/>
          <w:szCs w:val="20"/>
          <w:color w:val="auto"/>
        </w:rPr>
        <w:tab/>
      </w:r>
      <w:r>
        <w:rPr>
          <w:rFonts w:ascii="Times New Roman" w:cs="Times New Roman" w:eastAsia="Times New Roman" w:hAnsi="Times New Roman"/>
          <w:sz w:val="17"/>
          <w:szCs w:val="17"/>
          <w:color w:val="auto"/>
        </w:rPr>
        <w:t>Directly</w:t>
      </w:r>
    </w:p>
    <w:p>
      <w:pPr>
        <w:spacing w:after="0" w:line="9" w:lineRule="exact"/>
        <w:rPr>
          <w:sz w:val="20"/>
          <w:szCs w:val="20"/>
          <w:color w:val="auto"/>
        </w:rPr>
      </w:pPr>
    </w:p>
    <w:p>
      <w:pPr>
        <w:ind w:left="2000"/>
        <w:spacing w:after="0"/>
        <w:tabs>
          <w:tab w:leader="none" w:pos="3320" w:val="left"/>
        </w:tabs>
        <w:rPr>
          <w:sz w:val="20"/>
          <w:szCs w:val="20"/>
          <w:color w:val="auto"/>
        </w:rPr>
      </w:pPr>
      <w:r>
        <w:rPr>
          <w:rFonts w:ascii="Times New Roman" w:cs="Times New Roman" w:eastAsia="Times New Roman" w:hAnsi="Times New Roman"/>
          <w:sz w:val="18"/>
          <w:szCs w:val="18"/>
          <w:color w:val="auto"/>
        </w:rPr>
        <w:t>Limited</w:t>
      </w:r>
      <w:r>
        <w:rPr>
          <w:sz w:val="20"/>
          <w:szCs w:val="20"/>
          <w:color w:val="auto"/>
        </w:rPr>
        <w:tab/>
      </w:r>
      <w:r>
        <w:rPr>
          <w:rFonts w:ascii="Times New Roman" w:cs="Times New Roman" w:eastAsia="Times New Roman" w:hAnsi="Times New Roman"/>
          <w:sz w:val="18"/>
          <w:szCs w:val="18"/>
          <w:color w:val="auto"/>
        </w:rPr>
        <w:t>100%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400" w:type="dxa"/>
        <w:tblCellMar>
          <w:top w:w="0" w:type="dxa"/>
          <w:left w:w="0" w:type="dxa"/>
          <w:bottom w:w="0" w:type="dxa"/>
          <w:right w:w="0" w:type="dxa"/>
        </w:tblCellMar>
      </w:tblPr>
      <w:tr>
        <w:trPr>
          <w:trHeight w:val="216"/>
        </w:trPr>
        <w:tc>
          <w:tcPr>
            <w:tcW w:w="110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Affiliated</w:t>
            </w:r>
          </w:p>
        </w:tc>
        <w:tc>
          <w:tcPr>
            <w:tcW w:w="1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Dinner Bank</w:t>
            </w:r>
          </w:p>
        </w:tc>
        <w:tc>
          <w:tcPr>
            <w:tcW w:w="82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w w:val="94"/>
              </w:rPr>
              <w:t>without</w:t>
            </w:r>
          </w:p>
        </w:tc>
        <w:tc>
          <w:tcPr>
            <w:tcW w:w="0" w:type="dxa"/>
            <w:vAlign w:val="bottom"/>
          </w:tcPr>
          <w:p>
            <w:pPr>
              <w:spacing w:after="0"/>
              <w:rPr>
                <w:sz w:val="1"/>
                <w:szCs w:val="1"/>
                <w:color w:val="auto"/>
              </w:rPr>
            </w:pPr>
          </w:p>
        </w:tc>
      </w:tr>
      <w:tr>
        <w:trPr>
          <w:trHeight w:val="126"/>
        </w:trPr>
        <w:tc>
          <w:tcPr>
            <w:tcW w:w="1100" w:type="dxa"/>
            <w:vAlign w:val="bottom"/>
            <w:vMerge w:val="restart"/>
          </w:tcPr>
          <w:p>
            <w:pPr>
              <w:jc w:val="center"/>
              <w:ind w:right="210"/>
              <w:spacing w:after="0"/>
              <w:rPr>
                <w:sz w:val="20"/>
                <w:szCs w:val="20"/>
                <w:color w:val="auto"/>
              </w:rPr>
            </w:pPr>
            <w:r>
              <w:rPr>
                <w:rFonts w:ascii="Times New Roman" w:cs="Times New Roman" w:eastAsia="Times New Roman" w:hAnsi="Times New Roman"/>
                <w:sz w:val="18"/>
                <w:szCs w:val="18"/>
                <w:color w:val="auto"/>
                <w:w w:val="98"/>
              </w:rPr>
              <w:t>Companies</w:t>
            </w:r>
          </w:p>
        </w:tc>
        <w:tc>
          <w:tcPr>
            <w:tcW w:w="150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corporation</w:t>
            </w:r>
          </w:p>
        </w:tc>
        <w:tc>
          <w:tcPr>
            <w:tcW w:w="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100" w:type="dxa"/>
            <w:vAlign w:val="bottom"/>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Details of the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transaction</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Purchase of</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goods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Sale of goods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Direct store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expenses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Trademark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fees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Lending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funds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Purchase of</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goods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Sale of goods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expenses 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others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Secondment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Trading</w:t>
      </w:r>
    </w:p>
    <w:p>
      <w:pPr>
        <w:spacing w:after="0" w:line="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Subjects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5715</wp:posOffset>
            </wp:positionV>
            <wp:extent cx="7132320" cy="16630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66306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Cost of goods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sold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Sales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Selling,</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general</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administrative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expenses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Miscellaneous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Interest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Cost of goods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sold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Sales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Selling,</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general</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administrative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expenses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Miscellaneous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income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7"/>
          <w:szCs w:val="17"/>
          <w:color w:val="auto"/>
        </w:rPr>
        <w:t>Transaction</w:t>
      </w:r>
    </w:p>
    <w:p>
      <w:pPr>
        <w:spacing w:after="0" w:line="3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Amount</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920</w:t>
      </w:r>
    </w:p>
    <w:p>
      <w:pPr>
        <w:spacing w:after="0" w:line="27"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8,963,057</w:t>
      </w:r>
    </w:p>
    <w:p>
      <w:pPr>
        <w:spacing w:after="0" w:line="207"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154,480</w:t>
      </w:r>
    </w:p>
    <w:p>
      <w:pPr>
        <w:spacing w:after="0" w:line="27"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7,346</w:t>
      </w:r>
    </w:p>
    <w:p>
      <w:pPr>
        <w:spacing w:after="0" w:line="9"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5,520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9,434</w:t>
      </w:r>
    </w:p>
    <w:p>
      <w:pPr>
        <w:spacing w:after="0" w:line="27"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433</w:t>
      </w:r>
    </w:p>
    <w:p>
      <w:pPr>
        <w:spacing w:after="0" w:line="207"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19,963</w:t>
      </w:r>
    </w:p>
    <w:p>
      <w:pPr>
        <w:spacing w:after="0" w:line="27"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1,445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340" w:type="dxa"/>
            <w:vAlign w:val="bottom"/>
          </w:tcPr>
          <w:p>
            <w:pPr>
              <w:spacing w:after="0"/>
              <w:rPr>
                <w:sz w:val="20"/>
                <w:szCs w:val="20"/>
                <w:color w:val="auto"/>
              </w:rPr>
            </w:pP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7"/>
              </w:rPr>
              <w:t>(Unit: 1,000 yen)</w:t>
            </w:r>
          </w:p>
        </w:tc>
      </w:tr>
      <w:tr>
        <w:trPr>
          <w:trHeight w:val="414"/>
        </w:trPr>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Balance at</w:t>
            </w:r>
          </w:p>
        </w:tc>
      </w:tr>
      <w:tr>
        <w:trPr>
          <w:trHeight w:val="216"/>
        </w:trPr>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the end of</w:t>
            </w:r>
          </w:p>
        </w:tc>
      </w:tr>
      <w:tr>
        <w:trPr>
          <w:trHeight w:val="241"/>
        </w:trPr>
        <w:tc>
          <w:tcPr>
            <w:tcW w:w="13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Accounts</w:t>
            </w:r>
          </w:p>
        </w:tc>
        <w:tc>
          <w:tcPr>
            <w:tcW w:w="100" w:type="dxa"/>
            <w:vAlign w:val="bottom"/>
          </w:tcPr>
          <w:p>
            <w:pPr>
              <w:spacing w:after="0"/>
              <w:rPr>
                <w:sz w:val="20"/>
                <w:szCs w:val="20"/>
                <w:color w:val="auto"/>
              </w:rPr>
            </w:pPr>
          </w:p>
        </w:tc>
        <w:tc>
          <w:tcPr>
            <w:tcW w:w="11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the period</w:t>
            </w:r>
          </w:p>
        </w:tc>
      </w:tr>
    </w:tbl>
    <w:p>
      <w:pPr>
        <w:spacing w:after="0" w:line="200" w:lineRule="exact"/>
        <w:rPr>
          <w:sz w:val="20"/>
          <w:szCs w:val="20"/>
          <w:color w:val="auto"/>
        </w:rPr>
      </w:pPr>
    </w:p>
    <w:p>
      <w:pPr>
        <w:spacing w:after="0" w:line="3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Accounts</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receivable</w:t>
      </w:r>
    </w:p>
    <w:p>
      <w:pPr>
        <w:spacing w:after="0" w:line="9" w:lineRule="exact"/>
        <w:rPr>
          <w:sz w:val="20"/>
          <w:szCs w:val="20"/>
          <w:color w:val="auto"/>
        </w:rPr>
      </w:pPr>
    </w:p>
    <w:p>
      <w:pPr>
        <w:ind w:left="280"/>
        <w:spacing w:after="0"/>
        <w:tabs>
          <w:tab w:leader="none" w:pos="1760" w:val="left"/>
        </w:tabs>
        <w:rPr>
          <w:sz w:val="20"/>
          <w:szCs w:val="20"/>
          <w:color w:val="auto"/>
        </w:rPr>
      </w:pPr>
      <w:r>
        <w:rPr>
          <w:rFonts w:ascii="Times New Roman" w:cs="Times New Roman" w:eastAsia="Times New Roman" w:hAnsi="Times New Roman"/>
          <w:sz w:val="18"/>
          <w:szCs w:val="18"/>
          <w:color w:val="auto"/>
        </w:rPr>
        <w:t>Short-term</w:t>
      </w:r>
      <w:r>
        <w:rPr>
          <w:sz w:val="20"/>
          <w:szCs w:val="20"/>
          <w:color w:val="auto"/>
        </w:rPr>
        <w:tab/>
      </w:r>
      <w:r>
        <w:rPr>
          <w:rFonts w:ascii="Times New Roman" w:cs="Times New Roman" w:eastAsia="Times New Roman" w:hAnsi="Times New Roman"/>
          <w:sz w:val="18"/>
          <w:szCs w:val="18"/>
          <w:color w:val="auto"/>
        </w:rPr>
        <w:t>7,491,260</w:t>
      </w:r>
    </w:p>
    <w:p>
      <w:pPr>
        <w:spacing w:after="0" w:line="9" w:lineRule="exact"/>
        <w:rPr>
          <w:sz w:val="20"/>
          <w:szCs w:val="20"/>
          <w:color w:val="auto"/>
        </w:rPr>
      </w:pPr>
    </w:p>
    <w:p>
      <w:pPr>
        <w:ind w:left="480"/>
        <w:spacing w:after="0"/>
        <w:tabs>
          <w:tab w:leader="none" w:pos="1900" w:val="left"/>
        </w:tabs>
        <w:rPr>
          <w:sz w:val="20"/>
          <w:szCs w:val="20"/>
          <w:color w:val="auto"/>
        </w:rPr>
      </w:pPr>
      <w:r>
        <w:rPr>
          <w:rFonts w:ascii="Times New Roman" w:cs="Times New Roman" w:eastAsia="Times New Roman" w:hAnsi="Times New Roman"/>
          <w:sz w:val="18"/>
          <w:szCs w:val="18"/>
          <w:color w:val="auto"/>
        </w:rPr>
        <w:t>loans</w:t>
      </w:r>
      <w:r>
        <w:rPr>
          <w:sz w:val="20"/>
          <w:szCs w:val="20"/>
          <w:color w:val="auto"/>
        </w:rPr>
        <w:tab/>
      </w:r>
      <w:r>
        <w:rPr>
          <w:rFonts w:ascii="Times New Roman" w:cs="Times New Roman" w:eastAsia="Times New Roman" w:hAnsi="Times New Roman"/>
          <w:sz w:val="18"/>
          <w:szCs w:val="18"/>
          <w:color w:val="auto"/>
        </w:rPr>
        <w:t>178,312</w:t>
      </w:r>
    </w:p>
    <w:p>
      <w:pPr>
        <w:spacing w:after="0" w:line="9" w:lineRule="exact"/>
        <w:rPr>
          <w:sz w:val="20"/>
          <w:szCs w:val="20"/>
          <w:color w:val="auto"/>
        </w:rPr>
      </w:pPr>
    </w:p>
    <w:p>
      <w:pPr>
        <w:ind w:left="100"/>
        <w:spacing w:after="0"/>
        <w:tabs>
          <w:tab w:leader="none" w:pos="1900" w:val="left"/>
        </w:tabs>
        <w:rPr>
          <w:sz w:val="20"/>
          <w:szCs w:val="20"/>
          <w:color w:val="auto"/>
        </w:rPr>
      </w:pPr>
      <w:r>
        <w:rPr>
          <w:rFonts w:ascii="Times New Roman" w:cs="Times New Roman" w:eastAsia="Times New Roman" w:hAnsi="Times New Roman"/>
          <w:sz w:val="18"/>
          <w:szCs w:val="18"/>
          <w:color w:val="auto"/>
        </w:rPr>
        <w:t>Reimbursement</w:t>
      </w:r>
      <w:r>
        <w:rPr>
          <w:sz w:val="20"/>
          <w:szCs w:val="20"/>
          <w:color w:val="auto"/>
        </w:rPr>
        <w:tab/>
      </w:r>
      <w:r>
        <w:rPr>
          <w:rFonts w:ascii="Times New Roman" w:cs="Times New Roman" w:eastAsia="Times New Roman" w:hAnsi="Times New Roman"/>
          <w:sz w:val="18"/>
          <w:szCs w:val="18"/>
          <w:color w:val="auto"/>
        </w:rPr>
        <w:t>300,000</w:t>
      </w:r>
    </w:p>
    <w:p>
      <w:pPr>
        <w:spacing w:after="0" w:line="9" w:lineRule="exact"/>
        <w:rPr>
          <w:sz w:val="20"/>
          <w:szCs w:val="20"/>
          <w:color w:val="auto"/>
        </w:rPr>
      </w:pPr>
    </w:p>
    <w:p>
      <w:pPr>
        <w:ind w:left="440" w:right="100" w:hanging="104"/>
        <w:spacing w:after="0" w:line="250" w:lineRule="auto"/>
        <w:rPr>
          <w:sz w:val="20"/>
          <w:szCs w:val="20"/>
          <w:color w:val="auto"/>
        </w:rPr>
      </w:pPr>
      <w:r>
        <w:rPr>
          <w:rFonts w:ascii="Times New Roman" w:cs="Times New Roman" w:eastAsia="Times New Roman" w:hAnsi="Times New Roman"/>
          <w:sz w:val="18"/>
          <w:szCs w:val="18"/>
          <w:color w:val="auto"/>
        </w:rPr>
        <w:t>Unearned</w:t>
      </w:r>
      <w:r>
        <w:rPr>
          <w:sz w:val="20"/>
          <w:szCs w:val="20"/>
          <w:color w:val="auto"/>
        </w:rPr>
        <w:t xml:space="preserve"> </w:t>
      </w:r>
      <w:r>
        <w:rPr>
          <w:rFonts w:ascii="Times New Roman" w:cs="Times New Roman" w:eastAsia="Times New Roman" w:hAnsi="Times New Roman"/>
          <w:sz w:val="18"/>
          <w:szCs w:val="18"/>
          <w:color w:val="auto"/>
        </w:rPr>
        <w:t>1,620 money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20"/>
        <w:spacing w:after="0"/>
        <w:tabs>
          <w:tab w:leader="none" w:pos="1900" w:val="left"/>
        </w:tabs>
        <w:rPr>
          <w:sz w:val="20"/>
          <w:szCs w:val="20"/>
          <w:color w:val="auto"/>
        </w:rPr>
      </w:pPr>
      <w:r>
        <w:rPr>
          <w:rFonts w:ascii="Times New Roman" w:cs="Times New Roman" w:eastAsia="Times New Roman" w:hAnsi="Times New Roman"/>
          <w:sz w:val="16"/>
          <w:szCs w:val="16"/>
          <w:color w:val="auto"/>
        </w:rPr>
        <w:t>Unearned</w:t>
      </w:r>
      <w:r>
        <w:rPr>
          <w:sz w:val="20"/>
          <w:szCs w:val="20"/>
          <w:color w:val="auto"/>
        </w:rPr>
        <w:tab/>
      </w:r>
      <w:r>
        <w:rPr>
          <w:rFonts w:ascii="Times New Roman" w:cs="Times New Roman" w:eastAsia="Times New Roman" w:hAnsi="Times New Roman"/>
          <w:sz w:val="31"/>
          <w:szCs w:val="31"/>
          <w:color w:val="auto"/>
          <w:vertAlign w:val="subscript"/>
        </w:rPr>
        <w:t>128,582</w:t>
      </w:r>
    </w:p>
    <w:p>
      <w:pPr>
        <w:jc w:val="both"/>
        <w:ind w:left="440"/>
        <w:spacing w:after="0" w:line="182" w:lineRule="auto"/>
        <w:tabs>
          <w:tab w:leader="none" w:pos="1980" w:val="left"/>
        </w:tabs>
        <w:rPr>
          <w:sz w:val="20"/>
          <w:szCs w:val="20"/>
          <w:color w:val="auto"/>
        </w:rPr>
      </w:pPr>
      <w:r>
        <w:rPr>
          <w:rFonts w:ascii="Times New Roman" w:cs="Times New Roman" w:eastAsia="Times New Roman" w:hAnsi="Times New Roman"/>
          <w:sz w:val="16"/>
          <w:szCs w:val="16"/>
          <w:color w:val="auto"/>
          <w:vertAlign w:val="superscript"/>
        </w:rPr>
        <w:t>money</w:t>
      </w:r>
      <w:r>
        <w:rPr>
          <w:sz w:val="20"/>
          <w:szCs w:val="20"/>
          <w:color w:val="auto"/>
        </w:rPr>
        <w:tab/>
      </w:r>
      <w:r>
        <w:rPr>
          <w:rFonts w:ascii="Times New Roman" w:cs="Times New Roman" w:eastAsia="Times New Roman" w:hAnsi="Times New Roman"/>
          <w:sz w:val="11"/>
          <w:szCs w:val="11"/>
          <w:color w:val="auto"/>
        </w:rPr>
        <w:t>64,900</w:t>
      </w:r>
    </w:p>
    <w:p>
      <w:pPr>
        <w:spacing w:after="0" w:line="89" w:lineRule="exact"/>
        <w:rPr>
          <w:sz w:val="20"/>
          <w:szCs w:val="20"/>
          <w:color w:val="auto"/>
        </w:rPr>
      </w:pPr>
    </w:p>
    <w:p>
      <w:pPr>
        <w:ind w:left="360" w:right="100" w:firstLine="40"/>
        <w:spacing w:after="0"/>
        <w:rPr>
          <w:sz w:val="20"/>
          <w:szCs w:val="20"/>
          <w:color w:val="auto"/>
        </w:rPr>
      </w:pPr>
      <w:r>
        <w:rPr>
          <w:rFonts w:ascii="Times New Roman" w:cs="Times New Roman" w:eastAsia="Times New Roman" w:hAnsi="Times New Roman"/>
          <w:sz w:val="18"/>
          <w:szCs w:val="18"/>
          <w:color w:val="auto"/>
        </w:rPr>
        <w:t xml:space="preserve">Deposit </w:t>
      </w:r>
      <w:r>
        <w:rPr>
          <w:rFonts w:ascii="Times New Roman" w:cs="Times New Roman" w:eastAsia="Times New Roman" w:hAnsi="Times New Roman"/>
          <w:sz w:val="35"/>
          <w:szCs w:val="35"/>
          <w:color w:val="auto"/>
          <w:vertAlign w:val="subscript"/>
        </w:rPr>
        <w:t>172</w:t>
      </w:r>
      <w:r>
        <w:rPr>
          <w:rFonts w:ascii="Times New Roman" w:cs="Times New Roman" w:eastAsia="Times New Roman" w:hAnsi="Times New Roman"/>
          <w:sz w:val="18"/>
          <w:szCs w:val="18"/>
          <w:color w:val="auto"/>
        </w:rPr>
        <w:t xml:space="preserve"> Payables</w:t>
      </w:r>
    </w:p>
    <w:p>
      <w:pPr>
        <w:spacing w:after="0" w:line="866" w:lineRule="exact"/>
        <w:rPr>
          <w:sz w:val="20"/>
          <w:szCs w:val="20"/>
          <w:color w:val="auto"/>
        </w:rPr>
      </w:pPr>
    </w:p>
    <w:p>
      <w:pPr>
        <w:sectPr>
          <w:pgSz w:w="11900" w:h="16838" w:orient="portrait"/>
          <w:cols w:equalWidth="0" w:num="5">
            <w:col w:w="4120" w:space="220"/>
            <w:col w:w="980" w:space="300"/>
            <w:col w:w="1040" w:space="300"/>
            <w:col w:w="960" w:space="720"/>
            <w:col w:w="2600"/>
          </w:cols>
          <w:pgMar w:left="320" w:top="904" w:right="339" w:bottom="1440" w:gutter="0" w:footer="0" w:header="0"/>
        </w:sectPr>
      </w:pPr>
    </w:p>
    <w:p>
      <w:pPr>
        <w:spacing w:after="0" w:line="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Transaction conditions and policy for determining transaction conditions, etc.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(Note) Prices and other terms and conditions are determined through price negotiations, etc., considering market performance.</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28" w:name="page29"/>
    <w:bookmarkEnd w:id="28"/>
    <w:p>
      <w:pPr>
        <w:ind w:left="340" w:hanging="332"/>
        <w:spacing w:after="0"/>
        <w:tabs>
          <w:tab w:leader="none" w:pos="3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on Fixed Assets to be Used by Lease</w:t>
      </w:r>
    </w:p>
    <w:p>
      <w:pPr>
        <w:spacing w:after="0" w:line="225" w:lineRule="exact"/>
        <w:rPr>
          <w:rFonts w:ascii="Times New Roman" w:cs="Times New Roman" w:eastAsia="Times New Roman" w:hAnsi="Times New Roman"/>
          <w:sz w:val="18"/>
          <w:szCs w:val="18"/>
          <w:color w:val="auto"/>
        </w:rPr>
      </w:pPr>
    </w:p>
    <w:p>
      <w:pPr>
        <w:ind w:left="340" w:right="4340"/>
        <w:spacing w:after="0" w:line="50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fixed assets recorded on the balance sheet, some of the office equipment, etc. It is used under a finance lease agreement outside the transfer of ownership.</w:t>
      </w:r>
    </w:p>
    <w:p>
      <w:pPr>
        <w:spacing w:after="0" w:line="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on Per Share Information</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w:t>
            </w:r>
          </w:p>
        </w:tc>
        <w:tc>
          <w:tcPr>
            <w:tcW w:w="58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Net assets per share</w:t>
            </w:r>
          </w:p>
        </w:tc>
        <w:tc>
          <w:tcPr>
            <w:tcW w:w="5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131.72 yen</w:t>
            </w:r>
          </w:p>
        </w:tc>
      </w:tr>
      <w:tr>
        <w:trPr>
          <w:trHeight w:val="234"/>
        </w:trPr>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w:t>
            </w:r>
          </w:p>
        </w:tc>
        <w:tc>
          <w:tcPr>
            <w:tcW w:w="5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Net income per share</w:t>
            </w:r>
          </w:p>
        </w:tc>
        <w:tc>
          <w:tcPr>
            <w:tcW w:w="5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0.94 yen</w:t>
            </w:r>
          </w:p>
        </w:tc>
      </w:tr>
    </w:tbl>
    <w:p>
      <w:pPr>
        <w:spacing w:after="0" w:line="179" w:lineRule="exact"/>
        <w:rPr>
          <w:sz w:val="20"/>
          <w:szCs w:val="20"/>
          <w:color w:val="auto"/>
        </w:rPr>
      </w:pPr>
    </w:p>
    <w:p>
      <w:pPr>
        <w:ind w:left="340" w:hanging="332"/>
        <w:spacing w:after="0"/>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MISCELLANEOUS NOTES</w:t>
      </w:r>
    </w:p>
    <w:p>
      <w:pPr>
        <w:spacing w:after="0" w:line="225"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listed amount is rounded down to the nearest 1,000 yen.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Appendix</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April 1,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March 31,2026</w:t>
      </w:r>
    </w:p>
    <w:p>
      <w:pPr>
        <w:spacing w:after="0" w:line="207" w:lineRule="exact"/>
        <w:rPr>
          <w:sz w:val="20"/>
          <w:szCs w:val="20"/>
          <w:color w:val="auto"/>
        </w:rPr>
      </w:pPr>
    </w:p>
    <w:p>
      <w:pPr>
        <w:ind w:left="340" w:hanging="332"/>
        <w:spacing w:after="0"/>
        <w:tabs>
          <w:tab w:leader="none" w:pos="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Itemization of property, plant and equipment and intangible assets (including depreciation expenses recorded on investments and other assets)</w:t>
      </w:r>
    </w:p>
    <w:p>
      <w:pPr>
        <w:spacing w:after="0" w:line="225"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1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(Unit: 1,000 yen)</w:t>
            </w:r>
          </w:p>
        </w:tc>
        <w:tc>
          <w:tcPr>
            <w:tcW w:w="0" w:type="dxa"/>
            <w:vAlign w:val="bottom"/>
          </w:tcPr>
          <w:p>
            <w:pPr>
              <w:spacing w:after="0"/>
              <w:rPr>
                <w:sz w:val="1"/>
                <w:szCs w:val="1"/>
                <w:color w:val="auto"/>
              </w:rPr>
            </w:pPr>
          </w:p>
        </w:tc>
      </w:tr>
      <w:tr>
        <w:trPr>
          <w:trHeight w:val="191"/>
        </w:trPr>
        <w:tc>
          <w:tcPr>
            <w:tcW w:w="1180" w:type="dxa"/>
            <w:vAlign w:val="bottom"/>
            <w:tcBorders>
              <w:left w:val="single" w:sz="8" w:color="auto"/>
              <w:right w:val="single" w:sz="8" w:color="auto"/>
            </w:tcBorders>
          </w:tcPr>
          <w:p>
            <w:pPr>
              <w:spacing w:after="0"/>
              <w:rPr>
                <w:sz w:val="16"/>
                <w:szCs w:val="16"/>
                <w:color w:val="auto"/>
              </w:rPr>
            </w:pPr>
          </w:p>
        </w:tc>
        <w:tc>
          <w:tcPr>
            <w:tcW w:w="120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Period</w:t>
            </w:r>
          </w:p>
        </w:tc>
        <w:tc>
          <w:tcPr>
            <w:tcW w:w="9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Period</w:t>
            </w:r>
          </w:p>
        </w:tc>
        <w:tc>
          <w:tcPr>
            <w:tcW w:w="1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Period</w:t>
            </w:r>
          </w:p>
        </w:tc>
        <w:tc>
          <w:tcPr>
            <w:tcW w:w="174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End of</w:t>
            </w:r>
          </w:p>
        </w:tc>
        <w:tc>
          <w:tcPr>
            <w:tcW w:w="11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Impairment</w:t>
            </w:r>
          </w:p>
        </w:tc>
        <w:tc>
          <w:tcPr>
            <w:tcW w:w="12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Depreciation</w:t>
            </w:r>
          </w:p>
        </w:tc>
        <w:tc>
          <w:tcPr>
            <w:tcW w:w="11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End of</w:t>
            </w:r>
          </w:p>
        </w:tc>
        <w:tc>
          <w:tcPr>
            <w:tcW w:w="0" w:type="dxa"/>
            <w:vAlign w:val="bottom"/>
          </w:tcPr>
          <w:p>
            <w:pPr>
              <w:spacing w:after="0"/>
              <w:rPr>
                <w:sz w:val="1"/>
                <w:szCs w:val="1"/>
                <w:color w:val="auto"/>
              </w:rPr>
            </w:pPr>
          </w:p>
        </w:tc>
      </w:tr>
      <w:tr>
        <w:trPr>
          <w:trHeight w:val="108"/>
        </w:trPr>
        <w:tc>
          <w:tcPr>
            <w:tcW w:w="1180" w:type="dxa"/>
            <w:vAlign w:val="bottom"/>
            <w:tcBorders>
              <w:left w:val="single" w:sz="8" w:color="auto"/>
              <w:right w:val="single" w:sz="8" w:color="auto"/>
            </w:tcBorders>
          </w:tcPr>
          <w:p>
            <w:pPr>
              <w:spacing w:after="0"/>
              <w:rPr>
                <w:sz w:val="9"/>
                <w:szCs w:val="9"/>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Asset’s</w:t>
            </w:r>
          </w:p>
        </w:tc>
        <w:tc>
          <w:tcPr>
            <w:tcW w:w="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Leader</w:t>
            </w: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Amount</w:t>
            </w:r>
          </w:p>
        </w:tc>
        <w:tc>
          <w:tcPr>
            <w:tcW w:w="1000" w:type="dxa"/>
            <w:vAlign w:val="bottom"/>
            <w:tcBorders>
              <w:right w:val="single" w:sz="8" w:color="auto"/>
            </w:tcBorders>
            <w:vMerge w:val="continue"/>
          </w:tcPr>
          <w:p>
            <w:pPr>
              <w:spacing w:after="0"/>
              <w:rPr>
                <w:sz w:val="9"/>
                <w:szCs w:val="9"/>
                <w:color w:val="auto"/>
              </w:rPr>
            </w:pPr>
          </w:p>
        </w:tc>
        <w:tc>
          <w:tcPr>
            <w:tcW w:w="1740" w:type="dxa"/>
            <w:vAlign w:val="bottom"/>
            <w:tcBorders>
              <w:right w:val="single" w:sz="8" w:color="auto"/>
            </w:tcBorders>
            <w:vMerge w:val="restart"/>
          </w:tcPr>
          <w:p>
            <w:pPr>
              <w:jc w:val="right"/>
              <w:ind w:right="550"/>
              <w:spacing w:after="0"/>
              <w:rPr>
                <w:sz w:val="20"/>
                <w:szCs w:val="20"/>
                <w:color w:val="auto"/>
              </w:rPr>
            </w:pPr>
            <w:r>
              <w:rPr>
                <w:rFonts w:ascii="Times New Roman" w:cs="Times New Roman" w:eastAsia="Times New Roman" w:hAnsi="Times New Roman"/>
                <w:sz w:val="18"/>
                <w:szCs w:val="18"/>
                <w:color w:val="auto"/>
              </w:rPr>
              <w:t>Period</w:t>
            </w: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Period</w:t>
            </w: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loss</w:t>
            </w:r>
          </w:p>
        </w:tc>
        <w:tc>
          <w:tcPr>
            <w:tcW w:w="1220" w:type="dxa"/>
            <w:vAlign w:val="bottom"/>
            <w:tcBorders>
              <w:right w:val="single" w:sz="8" w:color="auto"/>
            </w:tcBorders>
            <w:vMerge w:val="continue"/>
          </w:tcPr>
          <w:p>
            <w:pPr>
              <w:spacing w:after="0"/>
              <w:rPr>
                <w:sz w:val="9"/>
                <w:szCs w:val="9"/>
                <w:color w:val="auto"/>
              </w:rPr>
            </w:pP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Period</w:t>
            </w:r>
          </w:p>
        </w:tc>
        <w:tc>
          <w:tcPr>
            <w:tcW w:w="0" w:type="dxa"/>
            <w:vAlign w:val="bottom"/>
          </w:tcPr>
          <w:p>
            <w:pPr>
              <w:spacing w:after="0"/>
              <w:rPr>
                <w:sz w:val="1"/>
                <w:szCs w:val="1"/>
                <w:color w:val="auto"/>
              </w:rPr>
            </w:pPr>
          </w:p>
        </w:tc>
      </w:tr>
      <w:tr>
        <w:trPr>
          <w:trHeight w:val="108"/>
        </w:trPr>
        <w:tc>
          <w:tcPr>
            <w:tcW w:w="11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Category</w:t>
            </w:r>
          </w:p>
        </w:tc>
        <w:tc>
          <w:tcPr>
            <w:tcW w:w="1200" w:type="dxa"/>
            <w:vAlign w:val="bottom"/>
            <w:tcBorders>
              <w:right w:val="single" w:sz="8" w:color="auto"/>
            </w:tcBorders>
            <w:vMerge w:val="continue"/>
          </w:tcPr>
          <w:p>
            <w:pPr>
              <w:spacing w:after="0"/>
              <w:rPr>
                <w:sz w:val="9"/>
                <w:szCs w:val="9"/>
                <w:color w:val="auto"/>
              </w:rPr>
            </w:pPr>
          </w:p>
        </w:tc>
        <w:tc>
          <w:tcPr>
            <w:tcW w:w="960" w:type="dxa"/>
            <w:vAlign w:val="bottom"/>
            <w:tcBorders>
              <w:right w:val="single" w:sz="8" w:color="auto"/>
            </w:tcBorders>
            <w:vMerge w:val="continue"/>
          </w:tcPr>
          <w:p>
            <w:pPr>
              <w:spacing w:after="0"/>
              <w:rPr>
                <w:sz w:val="9"/>
                <w:szCs w:val="9"/>
                <w:color w:val="auto"/>
              </w:rPr>
            </w:pPr>
          </w:p>
        </w:tc>
        <w:tc>
          <w:tcPr>
            <w:tcW w:w="900" w:type="dxa"/>
            <w:vAlign w:val="bottom"/>
            <w:tcBorders>
              <w:right w:val="single" w:sz="8" w:color="auto"/>
            </w:tcBorders>
            <w:vMerge w:val="continue"/>
          </w:tcPr>
          <w:p>
            <w:pPr>
              <w:spacing w:after="0"/>
              <w:rPr>
                <w:sz w:val="9"/>
                <w:szCs w:val="9"/>
                <w:color w:val="auto"/>
              </w:rPr>
            </w:pPr>
          </w:p>
        </w:tc>
        <w:tc>
          <w:tcPr>
            <w:tcW w:w="1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Amount of</w:t>
            </w:r>
          </w:p>
        </w:tc>
        <w:tc>
          <w:tcPr>
            <w:tcW w:w="1740" w:type="dxa"/>
            <w:vAlign w:val="bottom"/>
            <w:tcBorders>
              <w:right w:val="single" w:sz="8" w:color="auto"/>
            </w:tcBorders>
            <w:vMerge w:val="continue"/>
          </w:tcPr>
          <w:p>
            <w:pPr>
              <w:spacing w:after="0"/>
              <w:rPr>
                <w:sz w:val="9"/>
                <w:szCs w:val="9"/>
                <w:color w:val="auto"/>
              </w:rPr>
            </w:pPr>
          </w:p>
        </w:tc>
        <w:tc>
          <w:tcPr>
            <w:tcW w:w="800" w:type="dxa"/>
            <w:vAlign w:val="bottom"/>
            <w:tcBorders>
              <w:right w:val="single" w:sz="8" w:color="auto"/>
            </w:tcBorders>
            <w:vMerge w:val="continue"/>
          </w:tcPr>
          <w:p>
            <w:pPr>
              <w:spacing w:after="0"/>
              <w:rPr>
                <w:sz w:val="9"/>
                <w:szCs w:val="9"/>
                <w:color w:val="auto"/>
              </w:rPr>
            </w:pPr>
          </w:p>
        </w:tc>
        <w:tc>
          <w:tcPr>
            <w:tcW w:w="1120" w:type="dxa"/>
            <w:vAlign w:val="bottom"/>
            <w:tcBorders>
              <w:right w:val="single" w:sz="8" w:color="auto"/>
            </w:tcBorders>
            <w:vMerge w:val="continue"/>
          </w:tcPr>
          <w:p>
            <w:pPr>
              <w:spacing w:after="0"/>
              <w:rPr>
                <w:sz w:val="9"/>
                <w:szCs w:val="9"/>
                <w:color w:val="auto"/>
              </w:rPr>
            </w:pPr>
          </w:p>
        </w:tc>
        <w:tc>
          <w:tcPr>
            <w:tcW w:w="12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Cumulative</w:t>
            </w:r>
          </w:p>
        </w:tc>
        <w:tc>
          <w:tcPr>
            <w:tcW w:w="11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80" w:type="dxa"/>
            <w:vAlign w:val="bottom"/>
            <w:tcBorders>
              <w:left w:val="single" w:sz="8" w:color="auto"/>
              <w:right w:val="single" w:sz="8" w:color="auto"/>
            </w:tcBorders>
            <w:vMerge w:val="continue"/>
          </w:tcPr>
          <w:p>
            <w:pPr>
              <w:spacing w:after="0"/>
              <w:rPr>
                <w:sz w:val="9"/>
                <w:szCs w:val="9"/>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Species</w:t>
            </w:r>
          </w:p>
        </w:tc>
        <w:tc>
          <w:tcPr>
            <w:tcW w:w="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Book</w:t>
            </w: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of</w:t>
            </w:r>
          </w:p>
        </w:tc>
        <w:tc>
          <w:tcPr>
            <w:tcW w:w="1000" w:type="dxa"/>
            <w:vAlign w:val="bottom"/>
            <w:tcBorders>
              <w:right w:val="single" w:sz="8" w:color="auto"/>
            </w:tcBorders>
            <w:vMerge w:val="continue"/>
          </w:tcPr>
          <w:p>
            <w:pPr>
              <w:spacing w:after="0"/>
              <w:rPr>
                <w:sz w:val="9"/>
                <w:szCs w:val="9"/>
                <w:color w:val="auto"/>
              </w:rPr>
            </w:pPr>
          </w:p>
        </w:tc>
        <w:tc>
          <w:tcPr>
            <w:tcW w:w="174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Depreciation amount</w:t>
            </w: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Book</w:t>
            </w: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Cumulative</w:t>
            </w:r>
          </w:p>
        </w:tc>
        <w:tc>
          <w:tcPr>
            <w:tcW w:w="1220" w:type="dxa"/>
            <w:vAlign w:val="bottom"/>
            <w:tcBorders>
              <w:right w:val="single" w:sz="8" w:color="auto"/>
            </w:tcBorders>
            <w:vMerge w:val="continue"/>
          </w:tcPr>
          <w:p>
            <w:pPr>
              <w:spacing w:after="0"/>
              <w:rPr>
                <w:sz w:val="9"/>
                <w:szCs w:val="9"/>
                <w:color w:val="auto"/>
              </w:rPr>
            </w:pP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Acquisition</w:t>
            </w:r>
          </w:p>
        </w:tc>
        <w:tc>
          <w:tcPr>
            <w:tcW w:w="0" w:type="dxa"/>
            <w:vAlign w:val="bottom"/>
          </w:tcPr>
          <w:p>
            <w:pPr>
              <w:spacing w:after="0"/>
              <w:rPr>
                <w:sz w:val="1"/>
                <w:szCs w:val="1"/>
                <w:color w:val="auto"/>
              </w:rPr>
            </w:pPr>
          </w:p>
        </w:tc>
      </w:tr>
      <w:tr>
        <w:trPr>
          <w:trHeight w:val="108"/>
        </w:trPr>
        <w:tc>
          <w:tcPr>
            <w:tcW w:w="1180" w:type="dxa"/>
            <w:vAlign w:val="bottom"/>
            <w:tcBorders>
              <w:left w:val="single" w:sz="8" w:color="auto"/>
              <w:right w:val="single" w:sz="8" w:color="auto"/>
            </w:tcBorders>
          </w:tcPr>
          <w:p>
            <w:pPr>
              <w:spacing w:after="0"/>
              <w:rPr>
                <w:sz w:val="9"/>
                <w:szCs w:val="9"/>
                <w:color w:val="auto"/>
              </w:rPr>
            </w:pPr>
          </w:p>
        </w:tc>
        <w:tc>
          <w:tcPr>
            <w:tcW w:w="1200" w:type="dxa"/>
            <w:vAlign w:val="bottom"/>
            <w:tcBorders>
              <w:right w:val="single" w:sz="8" w:color="auto"/>
            </w:tcBorders>
            <w:vMerge w:val="continue"/>
          </w:tcPr>
          <w:p>
            <w:pPr>
              <w:spacing w:after="0"/>
              <w:rPr>
                <w:sz w:val="9"/>
                <w:szCs w:val="9"/>
                <w:color w:val="auto"/>
              </w:rPr>
            </w:pPr>
          </w:p>
        </w:tc>
        <w:tc>
          <w:tcPr>
            <w:tcW w:w="960" w:type="dxa"/>
            <w:vAlign w:val="bottom"/>
            <w:tcBorders>
              <w:right w:val="single" w:sz="8" w:color="auto"/>
            </w:tcBorders>
            <w:vMerge w:val="continue"/>
          </w:tcPr>
          <w:p>
            <w:pPr>
              <w:spacing w:after="0"/>
              <w:rPr>
                <w:sz w:val="9"/>
                <w:szCs w:val="9"/>
                <w:color w:val="auto"/>
              </w:rPr>
            </w:pPr>
          </w:p>
        </w:tc>
        <w:tc>
          <w:tcPr>
            <w:tcW w:w="900" w:type="dxa"/>
            <w:vAlign w:val="bottom"/>
            <w:tcBorders>
              <w:right w:val="single" w:sz="8" w:color="auto"/>
            </w:tcBorders>
            <w:vMerge w:val="continue"/>
          </w:tcPr>
          <w:p>
            <w:pPr>
              <w:spacing w:after="0"/>
              <w:rPr>
                <w:sz w:val="9"/>
                <w:szCs w:val="9"/>
                <w:color w:val="auto"/>
              </w:rPr>
            </w:pPr>
          </w:p>
        </w:tc>
        <w:tc>
          <w:tcPr>
            <w:tcW w:w="1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reduction</w:t>
            </w:r>
          </w:p>
        </w:tc>
        <w:tc>
          <w:tcPr>
            <w:tcW w:w="1740" w:type="dxa"/>
            <w:vAlign w:val="bottom"/>
            <w:tcBorders>
              <w:right w:val="single" w:sz="8" w:color="auto"/>
            </w:tcBorders>
            <w:vMerge w:val="continue"/>
          </w:tcPr>
          <w:p>
            <w:pPr>
              <w:spacing w:after="0"/>
              <w:rPr>
                <w:sz w:val="9"/>
                <w:szCs w:val="9"/>
                <w:color w:val="auto"/>
              </w:rPr>
            </w:pPr>
          </w:p>
        </w:tc>
        <w:tc>
          <w:tcPr>
            <w:tcW w:w="800" w:type="dxa"/>
            <w:vAlign w:val="bottom"/>
            <w:tcBorders>
              <w:right w:val="single" w:sz="8" w:color="auto"/>
            </w:tcBorders>
            <w:vMerge w:val="continue"/>
          </w:tcPr>
          <w:p>
            <w:pPr>
              <w:spacing w:after="0"/>
              <w:rPr>
                <w:sz w:val="9"/>
                <w:szCs w:val="9"/>
                <w:color w:val="auto"/>
              </w:rPr>
            </w:pPr>
          </w:p>
        </w:tc>
        <w:tc>
          <w:tcPr>
            <w:tcW w:w="1120" w:type="dxa"/>
            <w:vAlign w:val="bottom"/>
            <w:tcBorders>
              <w:right w:val="single" w:sz="8" w:color="auto"/>
            </w:tcBorders>
            <w:vMerge w:val="continue"/>
          </w:tcPr>
          <w:p>
            <w:pPr>
              <w:spacing w:after="0"/>
              <w:rPr>
                <w:sz w:val="9"/>
                <w:szCs w:val="9"/>
                <w:color w:val="auto"/>
              </w:rPr>
            </w:pPr>
          </w:p>
        </w:tc>
        <w:tc>
          <w:tcPr>
            <w:tcW w:w="12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amount</w:t>
            </w:r>
          </w:p>
        </w:tc>
        <w:tc>
          <w:tcPr>
            <w:tcW w:w="11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180" w:type="dxa"/>
            <w:vAlign w:val="bottom"/>
            <w:tcBorders>
              <w:left w:val="single" w:sz="8" w:color="auto"/>
              <w:right w:val="single" w:sz="8" w:color="auto"/>
            </w:tcBorders>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value</w:t>
            </w: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increase</w:t>
            </w:r>
          </w:p>
        </w:tc>
        <w:tc>
          <w:tcPr>
            <w:tcW w:w="1000" w:type="dxa"/>
            <w:vAlign w:val="bottom"/>
            <w:tcBorders>
              <w:right w:val="single" w:sz="8" w:color="auto"/>
            </w:tcBorders>
            <w:vMerge w:val="continue"/>
          </w:tcPr>
          <w:p>
            <w:pPr>
              <w:spacing w:after="0"/>
              <w:rPr>
                <w:sz w:val="10"/>
                <w:szCs w:val="10"/>
                <w:color w:val="auto"/>
              </w:rPr>
            </w:pPr>
          </w:p>
        </w:tc>
        <w:tc>
          <w:tcPr>
            <w:tcW w:w="174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value</w:t>
            </w: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amount</w:t>
            </w:r>
          </w:p>
        </w:tc>
        <w:tc>
          <w:tcPr>
            <w:tcW w:w="1220" w:type="dxa"/>
            <w:vAlign w:val="bottom"/>
            <w:tcBorders>
              <w:right w:val="single" w:sz="8" w:color="auto"/>
            </w:tcBorders>
            <w:vMerge w:val="continue"/>
          </w:tcPr>
          <w:p>
            <w:pPr>
              <w:spacing w:after="0"/>
              <w:rPr>
                <w:sz w:val="10"/>
                <w:szCs w:val="10"/>
                <w:color w:val="auto"/>
              </w:rPr>
            </w:pP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price</w:t>
            </w:r>
          </w:p>
        </w:tc>
        <w:tc>
          <w:tcPr>
            <w:tcW w:w="0" w:type="dxa"/>
            <w:vAlign w:val="bottom"/>
          </w:tcPr>
          <w:p>
            <w:pPr>
              <w:spacing w:after="0"/>
              <w:rPr>
                <w:sz w:val="1"/>
                <w:szCs w:val="1"/>
                <w:color w:val="auto"/>
              </w:rPr>
            </w:pPr>
          </w:p>
        </w:tc>
      </w:tr>
      <w:tr>
        <w:trPr>
          <w:trHeight w:val="108"/>
        </w:trPr>
        <w:tc>
          <w:tcPr>
            <w:tcW w:w="1180" w:type="dxa"/>
            <w:vAlign w:val="bottom"/>
            <w:tcBorders>
              <w:left w:val="single" w:sz="8" w:color="auto"/>
              <w:bottom w:val="single" w:sz="8" w:color="auto"/>
              <w:right w:val="single" w:sz="8" w:color="auto"/>
            </w:tcBorders>
          </w:tcPr>
          <w:p>
            <w:pPr>
              <w:spacing w:after="0"/>
              <w:rPr>
                <w:sz w:val="9"/>
                <w:szCs w:val="9"/>
                <w:color w:val="auto"/>
              </w:rPr>
            </w:pPr>
          </w:p>
        </w:tc>
        <w:tc>
          <w:tcPr>
            <w:tcW w:w="1200" w:type="dxa"/>
            <w:vAlign w:val="bottom"/>
            <w:tcBorders>
              <w:bottom w:val="single" w:sz="8" w:color="auto"/>
              <w:right w:val="single" w:sz="8" w:color="auto"/>
            </w:tcBorders>
          </w:tcPr>
          <w:p>
            <w:pPr>
              <w:spacing w:after="0"/>
              <w:rPr>
                <w:sz w:val="9"/>
                <w:szCs w:val="9"/>
                <w:color w:val="auto"/>
              </w:rPr>
            </w:pPr>
          </w:p>
        </w:tc>
        <w:tc>
          <w:tcPr>
            <w:tcW w:w="960" w:type="dxa"/>
            <w:vAlign w:val="bottom"/>
            <w:tcBorders>
              <w:bottom w:val="single" w:sz="8" w:color="auto"/>
              <w:right w:val="single" w:sz="8" w:color="auto"/>
            </w:tcBorders>
            <w:vMerge w:val="continue"/>
          </w:tcPr>
          <w:p>
            <w:pPr>
              <w:spacing w:after="0"/>
              <w:rPr>
                <w:sz w:val="9"/>
                <w:szCs w:val="9"/>
                <w:color w:val="auto"/>
              </w:rPr>
            </w:pPr>
          </w:p>
        </w:tc>
        <w:tc>
          <w:tcPr>
            <w:tcW w:w="900" w:type="dxa"/>
            <w:vAlign w:val="bottom"/>
            <w:tcBorders>
              <w:bottom w:val="single" w:sz="8" w:color="auto"/>
              <w:right w:val="single" w:sz="8" w:color="auto"/>
            </w:tcBorders>
            <w:vMerge w:val="continue"/>
          </w:tcPr>
          <w:p>
            <w:pPr>
              <w:spacing w:after="0"/>
              <w:rPr>
                <w:sz w:val="9"/>
                <w:szCs w:val="9"/>
                <w:color w:val="auto"/>
              </w:rPr>
            </w:pPr>
          </w:p>
        </w:tc>
        <w:tc>
          <w:tcPr>
            <w:tcW w:w="1000" w:type="dxa"/>
            <w:vAlign w:val="bottom"/>
            <w:tcBorders>
              <w:bottom w:val="single" w:sz="8" w:color="auto"/>
              <w:right w:val="single" w:sz="8" w:color="auto"/>
            </w:tcBorders>
          </w:tcPr>
          <w:p>
            <w:pPr>
              <w:spacing w:after="0"/>
              <w:rPr>
                <w:sz w:val="9"/>
                <w:szCs w:val="9"/>
                <w:color w:val="auto"/>
              </w:rPr>
            </w:pPr>
          </w:p>
        </w:tc>
        <w:tc>
          <w:tcPr>
            <w:tcW w:w="1740" w:type="dxa"/>
            <w:vAlign w:val="bottom"/>
            <w:tcBorders>
              <w:bottom w:val="single" w:sz="8" w:color="auto"/>
              <w:right w:val="single" w:sz="8" w:color="auto"/>
            </w:tcBorders>
          </w:tcPr>
          <w:p>
            <w:pPr>
              <w:spacing w:after="0"/>
              <w:rPr>
                <w:sz w:val="9"/>
                <w:szCs w:val="9"/>
                <w:color w:val="auto"/>
              </w:rPr>
            </w:pPr>
          </w:p>
        </w:tc>
        <w:tc>
          <w:tcPr>
            <w:tcW w:w="800" w:type="dxa"/>
            <w:vAlign w:val="bottom"/>
            <w:tcBorders>
              <w:bottom w:val="single" w:sz="8" w:color="auto"/>
              <w:right w:val="single" w:sz="8" w:color="auto"/>
            </w:tcBorders>
            <w:vMerge w:val="continue"/>
          </w:tcPr>
          <w:p>
            <w:pPr>
              <w:spacing w:after="0"/>
              <w:rPr>
                <w:sz w:val="9"/>
                <w:szCs w:val="9"/>
                <w:color w:val="auto"/>
              </w:rPr>
            </w:pPr>
          </w:p>
        </w:tc>
        <w:tc>
          <w:tcPr>
            <w:tcW w:w="1120" w:type="dxa"/>
            <w:vAlign w:val="bottom"/>
            <w:tcBorders>
              <w:bottom w:val="single" w:sz="8" w:color="auto"/>
              <w:right w:val="single" w:sz="8" w:color="auto"/>
            </w:tcBorders>
            <w:vMerge w:val="continue"/>
          </w:tcPr>
          <w:p>
            <w:pPr>
              <w:spacing w:after="0"/>
              <w:rPr>
                <w:sz w:val="9"/>
                <w:szCs w:val="9"/>
                <w:color w:val="auto"/>
              </w:rPr>
            </w:pPr>
          </w:p>
        </w:tc>
        <w:tc>
          <w:tcPr>
            <w:tcW w:w="122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1180" w:type="dxa"/>
            <w:vAlign w:val="bottom"/>
            <w:tcBorders>
              <w:left w:val="single" w:sz="8" w:color="auto"/>
              <w:right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Building</w:t>
            </w:r>
          </w:p>
        </w:tc>
        <w:tc>
          <w:tcPr>
            <w:tcW w:w="96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370,888</w:t>
            </w:r>
          </w:p>
        </w:tc>
        <w:tc>
          <w:tcPr>
            <w:tcW w:w="9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359,829</w:t>
            </w:r>
          </w:p>
        </w:tc>
        <w:tc>
          <w:tcPr>
            <w:tcW w:w="17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11,059</w:t>
            </w:r>
          </w:p>
        </w:tc>
        <w:tc>
          <w:tcPr>
            <w:tcW w:w="8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1"/>
        </w:trPr>
        <w:tc>
          <w:tcPr>
            <w:tcW w:w="1180" w:type="dxa"/>
            <w:vAlign w:val="bottom"/>
            <w:tcBorders>
              <w:left w:val="single" w:sz="8" w:color="auto"/>
              <w:right w:val="single" w:sz="8" w:color="auto"/>
            </w:tcBorders>
          </w:tcPr>
          <w:p>
            <w:pPr>
              <w:spacing w:after="0"/>
              <w:rPr>
                <w:sz w:val="16"/>
                <w:szCs w:val="16"/>
                <w:color w:val="auto"/>
              </w:rPr>
            </w:pPr>
          </w:p>
        </w:tc>
        <w:tc>
          <w:tcPr>
            <w:tcW w:w="12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Facilities</w:t>
            </w:r>
          </w:p>
        </w:tc>
        <w:tc>
          <w:tcPr>
            <w:tcW w:w="96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174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80" w:type="dxa"/>
            <w:vAlign w:val="bottom"/>
            <w:tcBorders>
              <w:left w:val="single" w:sz="8" w:color="auto"/>
              <w:right w:val="single" w:sz="8" w:color="auto"/>
            </w:tcBorders>
          </w:tcPr>
          <w:p>
            <w:pPr>
              <w:spacing w:after="0"/>
              <w:rPr>
                <w:sz w:val="18"/>
                <w:szCs w:val="18"/>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attached to</w:t>
            </w:r>
          </w:p>
        </w:tc>
        <w:tc>
          <w:tcPr>
            <w:tcW w:w="96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205,416</w:t>
            </w:r>
          </w:p>
        </w:tc>
        <w:tc>
          <w:tcPr>
            <w:tcW w:w="90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71,927</w:t>
            </w:r>
          </w:p>
        </w:tc>
        <w:tc>
          <w:tcPr>
            <w:tcW w:w="174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24,698</w:t>
            </w:r>
          </w:p>
        </w:tc>
        <w:tc>
          <w:tcPr>
            <w:tcW w:w="80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108,789</w:t>
            </w:r>
          </w:p>
        </w:tc>
        <w:tc>
          <w:tcPr>
            <w:tcW w:w="112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103,651</w:t>
            </w:r>
          </w:p>
        </w:tc>
        <w:tc>
          <w:tcPr>
            <w:tcW w:w="112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212,441</w:t>
            </w:r>
          </w:p>
        </w:tc>
        <w:tc>
          <w:tcPr>
            <w:tcW w:w="0" w:type="dxa"/>
            <w:vAlign w:val="bottom"/>
          </w:tcPr>
          <w:p>
            <w:pPr>
              <w:spacing w:after="0"/>
              <w:rPr>
                <w:sz w:val="1"/>
                <w:szCs w:val="1"/>
                <w:color w:val="auto"/>
              </w:rPr>
            </w:pPr>
          </w:p>
        </w:tc>
      </w:tr>
      <w:tr>
        <w:trPr>
          <w:trHeight w:val="234"/>
        </w:trPr>
        <w:tc>
          <w:tcPr>
            <w:tcW w:w="1180" w:type="dxa"/>
            <w:vAlign w:val="bottom"/>
            <w:tcBorders>
              <w:left w:val="single" w:sz="8" w:color="auto"/>
              <w:right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building</w:t>
            </w:r>
          </w:p>
        </w:tc>
        <w:tc>
          <w:tcPr>
            <w:tcW w:w="96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174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180" w:type="dxa"/>
            <w:vAlign w:val="bottom"/>
            <w:tcBorders>
              <w:left w:val="single" w:sz="8" w:color="auto"/>
              <w:right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structure</w:t>
            </w:r>
          </w:p>
        </w:tc>
        <w:tc>
          <w:tcPr>
            <w:tcW w:w="96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25,501</w:t>
            </w:r>
          </w:p>
        </w:tc>
        <w:tc>
          <w:tcPr>
            <w:tcW w:w="9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23,562</w:t>
            </w:r>
          </w:p>
        </w:tc>
        <w:tc>
          <w:tcPr>
            <w:tcW w:w="17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1,938</w:t>
            </w:r>
          </w:p>
        </w:tc>
        <w:tc>
          <w:tcPr>
            <w:tcW w:w="8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1"/>
        </w:trPr>
        <w:tc>
          <w:tcPr>
            <w:tcW w:w="1180" w:type="dxa"/>
            <w:vAlign w:val="bottom"/>
            <w:tcBorders>
              <w:left w:val="single" w:sz="8" w:color="auto"/>
              <w:right w:val="single" w:sz="8" w:color="auto"/>
            </w:tcBorders>
          </w:tcPr>
          <w:p>
            <w:pPr>
              <w:spacing w:after="0"/>
              <w:rPr>
                <w:sz w:val="16"/>
                <w:szCs w:val="16"/>
                <w:color w:val="auto"/>
              </w:rPr>
            </w:pPr>
          </w:p>
        </w:tc>
        <w:tc>
          <w:tcPr>
            <w:tcW w:w="12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6"/>
              </w:rPr>
              <w:t>Vehicle</w:t>
            </w:r>
          </w:p>
        </w:tc>
        <w:tc>
          <w:tcPr>
            <w:tcW w:w="96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174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right w:val="single" w:sz="8" w:color="auto"/>
            </w:tcBorders>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8,652</w:t>
            </w:r>
          </w:p>
        </w:tc>
        <w:tc>
          <w:tcPr>
            <w:tcW w:w="1120" w:type="dxa"/>
            <w:vAlign w:val="bottom"/>
            <w:tcBorders>
              <w:right w:val="single" w:sz="8" w:color="auto"/>
            </w:tcBorders>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9,090</w:t>
            </w:r>
          </w:p>
        </w:tc>
        <w:tc>
          <w:tcPr>
            <w:tcW w:w="0" w:type="dxa"/>
            <w:vAlign w:val="bottom"/>
          </w:tcPr>
          <w:p>
            <w:pPr>
              <w:spacing w:after="0"/>
              <w:rPr>
                <w:sz w:val="1"/>
                <w:szCs w:val="1"/>
                <w:color w:val="auto"/>
              </w:rPr>
            </w:pPr>
          </w:p>
        </w:tc>
      </w:tr>
      <w:tr>
        <w:trPr>
          <w:trHeight w:val="216"/>
        </w:trPr>
        <w:tc>
          <w:tcPr>
            <w:tcW w:w="11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Solid</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transport</w:t>
            </w:r>
          </w:p>
        </w:tc>
        <w:tc>
          <w:tcPr>
            <w:tcW w:w="96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657</w:t>
            </w:r>
          </w:p>
        </w:tc>
        <w:tc>
          <w:tcPr>
            <w:tcW w:w="90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219</w:t>
            </w:r>
          </w:p>
        </w:tc>
        <w:tc>
          <w:tcPr>
            <w:tcW w:w="80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437</w:t>
            </w:r>
          </w:p>
        </w:tc>
        <w:tc>
          <w:tcPr>
            <w:tcW w:w="112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180" w:type="dxa"/>
            <w:vAlign w:val="bottom"/>
            <w:tcBorders>
              <w:left w:val="single" w:sz="8" w:color="auto"/>
              <w:right w:val="single" w:sz="8" w:color="auto"/>
            </w:tcBorders>
            <w:vMerge w:val="continue"/>
          </w:tcPr>
          <w:p>
            <w:pPr>
              <w:spacing w:after="0"/>
              <w:rPr>
                <w:sz w:val="9"/>
                <w:szCs w:val="9"/>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equipment</w:t>
            </w:r>
          </w:p>
        </w:tc>
        <w:tc>
          <w:tcPr>
            <w:tcW w:w="960" w:type="dxa"/>
            <w:vAlign w:val="bottom"/>
            <w:tcBorders>
              <w:right w:val="single" w:sz="8" w:color="auto"/>
            </w:tcBorders>
          </w:tcPr>
          <w:p>
            <w:pPr>
              <w:spacing w:after="0"/>
              <w:rPr>
                <w:sz w:val="9"/>
                <w:szCs w:val="9"/>
                <w:color w:val="auto"/>
              </w:rPr>
            </w:pPr>
          </w:p>
        </w:tc>
        <w:tc>
          <w:tcPr>
            <w:tcW w:w="900" w:type="dxa"/>
            <w:vAlign w:val="bottom"/>
            <w:tcBorders>
              <w:right w:val="single" w:sz="8" w:color="auto"/>
            </w:tcBorders>
          </w:tcPr>
          <w:p>
            <w:pPr>
              <w:spacing w:after="0"/>
              <w:rPr>
                <w:sz w:val="9"/>
                <w:szCs w:val="9"/>
                <w:color w:val="auto"/>
              </w:rPr>
            </w:pPr>
          </w:p>
        </w:tc>
        <w:tc>
          <w:tcPr>
            <w:tcW w:w="1000" w:type="dxa"/>
            <w:vAlign w:val="bottom"/>
            <w:tcBorders>
              <w:right w:val="single" w:sz="8" w:color="auto"/>
            </w:tcBorders>
          </w:tcPr>
          <w:p>
            <w:pPr>
              <w:spacing w:after="0"/>
              <w:rPr>
                <w:sz w:val="9"/>
                <w:szCs w:val="9"/>
                <w:color w:val="auto"/>
              </w:rPr>
            </w:pPr>
          </w:p>
        </w:tc>
        <w:tc>
          <w:tcPr>
            <w:tcW w:w="1740" w:type="dxa"/>
            <w:vAlign w:val="bottom"/>
            <w:tcBorders>
              <w:right w:val="single" w:sz="8" w:color="auto"/>
            </w:tcBorders>
          </w:tcPr>
          <w:p>
            <w:pPr>
              <w:spacing w:after="0"/>
              <w:rPr>
                <w:sz w:val="9"/>
                <w:szCs w:val="9"/>
                <w:color w:val="auto"/>
              </w:rPr>
            </w:pPr>
          </w:p>
        </w:tc>
        <w:tc>
          <w:tcPr>
            <w:tcW w:w="80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122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1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Capital</w:t>
            </w:r>
          </w:p>
        </w:tc>
        <w:tc>
          <w:tcPr>
            <w:tcW w:w="1200" w:type="dxa"/>
            <w:vAlign w:val="bottom"/>
            <w:tcBorders>
              <w:bottom w:val="single" w:sz="8" w:color="auto"/>
              <w:right w:val="single" w:sz="8" w:color="auto"/>
            </w:tcBorders>
            <w:vMerge w:val="continue"/>
          </w:tcPr>
          <w:p>
            <w:pPr>
              <w:spacing w:after="0"/>
              <w:rPr>
                <w:sz w:val="10"/>
                <w:szCs w:val="10"/>
                <w:color w:val="auto"/>
              </w:rPr>
            </w:pPr>
          </w:p>
        </w:tc>
        <w:tc>
          <w:tcPr>
            <w:tcW w:w="960" w:type="dxa"/>
            <w:vAlign w:val="bottom"/>
            <w:tcBorders>
              <w:bottom w:val="single" w:sz="8" w:color="auto"/>
              <w:right w:val="single" w:sz="8" w:color="auto"/>
            </w:tcBorders>
          </w:tcPr>
          <w:p>
            <w:pPr>
              <w:spacing w:after="0"/>
              <w:rPr>
                <w:sz w:val="10"/>
                <w:szCs w:val="10"/>
                <w:color w:val="auto"/>
              </w:rPr>
            </w:pPr>
          </w:p>
        </w:tc>
        <w:tc>
          <w:tcPr>
            <w:tcW w:w="900" w:type="dxa"/>
            <w:vAlign w:val="bottom"/>
            <w:tcBorders>
              <w:bottom w:val="single" w:sz="8" w:color="auto"/>
              <w:right w:val="single" w:sz="8" w:color="auto"/>
            </w:tcBorders>
          </w:tcPr>
          <w:p>
            <w:pPr>
              <w:spacing w:after="0"/>
              <w:rPr>
                <w:sz w:val="10"/>
                <w:szCs w:val="10"/>
                <w:color w:val="auto"/>
              </w:rPr>
            </w:pPr>
          </w:p>
        </w:tc>
        <w:tc>
          <w:tcPr>
            <w:tcW w:w="1000" w:type="dxa"/>
            <w:vAlign w:val="bottom"/>
            <w:tcBorders>
              <w:bottom w:val="single" w:sz="8" w:color="auto"/>
              <w:right w:val="single" w:sz="8" w:color="auto"/>
            </w:tcBorders>
          </w:tcPr>
          <w:p>
            <w:pPr>
              <w:spacing w:after="0"/>
              <w:rPr>
                <w:sz w:val="10"/>
                <w:szCs w:val="10"/>
                <w:color w:val="auto"/>
              </w:rPr>
            </w:pPr>
          </w:p>
        </w:tc>
        <w:tc>
          <w:tcPr>
            <w:tcW w:w="1740" w:type="dxa"/>
            <w:vAlign w:val="bottom"/>
            <w:tcBorders>
              <w:bottom w:val="single" w:sz="8" w:color="auto"/>
              <w:right w:val="single" w:sz="8" w:color="auto"/>
            </w:tcBorders>
          </w:tcPr>
          <w:p>
            <w:pPr>
              <w:spacing w:after="0"/>
              <w:rPr>
                <w:sz w:val="10"/>
                <w:szCs w:val="10"/>
                <w:color w:val="auto"/>
              </w:rPr>
            </w:pPr>
          </w:p>
        </w:tc>
        <w:tc>
          <w:tcPr>
            <w:tcW w:w="800" w:type="dxa"/>
            <w:vAlign w:val="bottom"/>
            <w:tcBorders>
              <w:bottom w:val="single" w:sz="8" w:color="auto"/>
              <w:right w:val="single" w:sz="8" w:color="auto"/>
            </w:tcBorders>
          </w:tcPr>
          <w:p>
            <w:pPr>
              <w:spacing w:after="0"/>
              <w:rPr>
                <w:sz w:val="10"/>
                <w:szCs w:val="10"/>
                <w:color w:val="auto"/>
              </w:rPr>
            </w:pPr>
          </w:p>
        </w:tc>
        <w:tc>
          <w:tcPr>
            <w:tcW w:w="1120" w:type="dxa"/>
            <w:vAlign w:val="bottom"/>
            <w:tcBorders>
              <w:bottom w:val="single" w:sz="8" w:color="auto"/>
              <w:right w:val="single" w:sz="8" w:color="auto"/>
            </w:tcBorders>
          </w:tcPr>
          <w:p>
            <w:pPr>
              <w:spacing w:after="0"/>
              <w:rPr>
                <w:sz w:val="10"/>
                <w:szCs w:val="10"/>
                <w:color w:val="auto"/>
              </w:rPr>
            </w:pPr>
          </w:p>
        </w:tc>
        <w:tc>
          <w:tcPr>
            <w:tcW w:w="1220" w:type="dxa"/>
            <w:vAlign w:val="bottom"/>
            <w:tcBorders>
              <w:bottom w:val="single" w:sz="8" w:color="auto"/>
              <w:right w:val="single" w:sz="8" w:color="auto"/>
            </w:tcBorders>
          </w:tcPr>
          <w:p>
            <w:pPr>
              <w:spacing w:after="0"/>
              <w:rPr>
                <w:sz w:val="10"/>
                <w:szCs w:val="10"/>
                <w:color w:val="auto"/>
              </w:rPr>
            </w:pPr>
          </w:p>
        </w:tc>
        <w:tc>
          <w:tcPr>
            <w:tcW w:w="11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180" w:type="dxa"/>
            <w:vAlign w:val="bottom"/>
            <w:tcBorders>
              <w:left w:val="single" w:sz="8" w:color="auto"/>
              <w:right w:val="single" w:sz="8" w:color="auto"/>
            </w:tcBorders>
            <w:vMerge w:val="continue"/>
          </w:tcPr>
          <w:p>
            <w:pPr>
              <w:spacing w:after="0"/>
              <w:rPr>
                <w:sz w:val="6"/>
                <w:szCs w:val="6"/>
                <w:color w:val="auto"/>
              </w:rPr>
            </w:pPr>
          </w:p>
        </w:tc>
        <w:tc>
          <w:tcPr>
            <w:tcW w:w="1200" w:type="dxa"/>
            <w:vAlign w:val="bottom"/>
            <w:tcBorders>
              <w:right w:val="single" w:sz="8" w:color="auto"/>
            </w:tcBorders>
            <w:vMerge w:val="restart"/>
          </w:tcPr>
          <w:p>
            <w:pPr>
              <w:jc w:val="center"/>
              <w:spacing w:after="0" w:line="191" w:lineRule="exact"/>
              <w:rPr>
                <w:sz w:val="20"/>
                <w:szCs w:val="20"/>
                <w:color w:val="auto"/>
              </w:rPr>
            </w:pPr>
            <w:r>
              <w:rPr>
                <w:rFonts w:ascii="Times New Roman" w:cs="Times New Roman" w:eastAsia="Times New Roman" w:hAnsi="Times New Roman"/>
                <w:sz w:val="18"/>
                <w:szCs w:val="18"/>
                <w:color w:val="auto"/>
                <w:w w:val="96"/>
              </w:rPr>
              <w:t>Tools,</w:t>
            </w:r>
          </w:p>
        </w:tc>
        <w:tc>
          <w:tcPr>
            <w:tcW w:w="960" w:type="dxa"/>
            <w:vAlign w:val="bottom"/>
            <w:tcBorders>
              <w:right w:val="single" w:sz="8" w:color="auto"/>
            </w:tcBorders>
          </w:tcPr>
          <w:p>
            <w:pPr>
              <w:spacing w:after="0"/>
              <w:rPr>
                <w:sz w:val="6"/>
                <w:szCs w:val="6"/>
                <w:color w:val="auto"/>
              </w:rPr>
            </w:pPr>
          </w:p>
        </w:tc>
        <w:tc>
          <w:tcPr>
            <w:tcW w:w="900" w:type="dxa"/>
            <w:vAlign w:val="bottom"/>
            <w:tcBorders>
              <w:right w:val="single" w:sz="8" w:color="auto"/>
            </w:tcBorders>
          </w:tcPr>
          <w:p>
            <w:pPr>
              <w:spacing w:after="0"/>
              <w:rPr>
                <w:sz w:val="6"/>
                <w:szCs w:val="6"/>
                <w:color w:val="auto"/>
              </w:rPr>
            </w:pPr>
          </w:p>
        </w:tc>
        <w:tc>
          <w:tcPr>
            <w:tcW w:w="1000" w:type="dxa"/>
            <w:vAlign w:val="bottom"/>
            <w:tcBorders>
              <w:right w:val="single" w:sz="8" w:color="auto"/>
            </w:tcBorders>
          </w:tcPr>
          <w:p>
            <w:pPr>
              <w:spacing w:after="0"/>
              <w:rPr>
                <w:sz w:val="6"/>
                <w:szCs w:val="6"/>
                <w:color w:val="auto"/>
              </w:rPr>
            </w:pPr>
          </w:p>
        </w:tc>
        <w:tc>
          <w:tcPr>
            <w:tcW w:w="1740" w:type="dxa"/>
            <w:vAlign w:val="bottom"/>
            <w:tcBorders>
              <w:right w:val="single" w:sz="8" w:color="auto"/>
            </w:tcBorders>
          </w:tcPr>
          <w:p>
            <w:pPr>
              <w:spacing w:after="0"/>
              <w:rPr>
                <w:sz w:val="6"/>
                <w:szCs w:val="6"/>
                <w:color w:val="auto"/>
              </w:rPr>
            </w:pPr>
          </w:p>
        </w:tc>
        <w:tc>
          <w:tcPr>
            <w:tcW w:w="800" w:type="dxa"/>
            <w:vAlign w:val="bottom"/>
            <w:tcBorders>
              <w:right w:val="single" w:sz="8" w:color="auto"/>
            </w:tcBorders>
          </w:tcPr>
          <w:p>
            <w:pPr>
              <w:spacing w:after="0"/>
              <w:rPr>
                <w:sz w:val="6"/>
                <w:szCs w:val="6"/>
                <w:color w:val="auto"/>
              </w:rPr>
            </w:pPr>
          </w:p>
        </w:tc>
        <w:tc>
          <w:tcPr>
            <w:tcW w:w="1120" w:type="dxa"/>
            <w:vAlign w:val="bottom"/>
            <w:tcBorders>
              <w:right w:val="single" w:sz="8" w:color="auto"/>
            </w:tcBorders>
            <w:vMerge w:val="restart"/>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right w:val="single" w:sz="8" w:color="auto"/>
            </w:tcBorders>
            <w:vMerge w:val="restart"/>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93,624</w:t>
            </w:r>
          </w:p>
        </w:tc>
        <w:tc>
          <w:tcPr>
            <w:tcW w:w="1120" w:type="dxa"/>
            <w:vAlign w:val="bottom"/>
            <w:tcBorders>
              <w:right w:val="single" w:sz="8" w:color="auto"/>
            </w:tcBorders>
            <w:vMerge w:val="restart"/>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116,111</w:t>
            </w:r>
          </w:p>
        </w:tc>
        <w:tc>
          <w:tcPr>
            <w:tcW w:w="0" w:type="dxa"/>
            <w:vAlign w:val="bottom"/>
          </w:tcPr>
          <w:p>
            <w:pPr>
              <w:spacing w:after="0"/>
              <w:rPr>
                <w:sz w:val="1"/>
                <w:szCs w:val="1"/>
                <w:color w:val="auto"/>
              </w:rPr>
            </w:pPr>
          </w:p>
        </w:tc>
      </w:tr>
      <w:tr>
        <w:trPr>
          <w:trHeight w:val="121"/>
        </w:trPr>
        <w:tc>
          <w:tcPr>
            <w:tcW w:w="11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Production</w:t>
            </w:r>
          </w:p>
        </w:tc>
        <w:tc>
          <w:tcPr>
            <w:tcW w:w="1200" w:type="dxa"/>
            <w:vAlign w:val="bottom"/>
            <w:tcBorders>
              <w:right w:val="single" w:sz="8" w:color="auto"/>
            </w:tcBorders>
            <w:vMerge w:val="continue"/>
          </w:tcPr>
          <w:p>
            <w:pPr>
              <w:spacing w:after="0"/>
              <w:rPr>
                <w:sz w:val="10"/>
                <w:szCs w:val="10"/>
                <w:color w:val="auto"/>
              </w:rPr>
            </w:pPr>
          </w:p>
        </w:tc>
        <w:tc>
          <w:tcPr>
            <w:tcW w:w="96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174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1120" w:type="dxa"/>
            <w:vAlign w:val="bottom"/>
            <w:tcBorders>
              <w:right w:val="single" w:sz="8" w:color="auto"/>
            </w:tcBorders>
            <w:vMerge w:val="continue"/>
          </w:tcPr>
          <w:p>
            <w:pPr>
              <w:spacing w:after="0"/>
              <w:rPr>
                <w:sz w:val="10"/>
                <w:szCs w:val="10"/>
                <w:color w:val="auto"/>
              </w:rPr>
            </w:pPr>
          </w:p>
        </w:tc>
        <w:tc>
          <w:tcPr>
            <w:tcW w:w="1220" w:type="dxa"/>
            <w:vAlign w:val="bottom"/>
            <w:tcBorders>
              <w:right w:val="single" w:sz="8" w:color="auto"/>
            </w:tcBorders>
            <w:vMerge w:val="continue"/>
          </w:tcPr>
          <w:p>
            <w:pPr>
              <w:spacing w:after="0"/>
              <w:rPr>
                <w:sz w:val="10"/>
                <w:szCs w:val="10"/>
                <w:color w:val="auto"/>
              </w:rPr>
            </w:pPr>
          </w:p>
        </w:tc>
        <w:tc>
          <w:tcPr>
            <w:tcW w:w="11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1180" w:type="dxa"/>
            <w:vAlign w:val="bottom"/>
            <w:tcBorders>
              <w:left w:val="single" w:sz="8" w:color="auto"/>
              <w:right w:val="single" w:sz="8" w:color="auto"/>
            </w:tcBorders>
            <w:vMerge w:val="continue"/>
          </w:tcPr>
          <w:p>
            <w:pPr>
              <w:spacing w:after="0"/>
              <w:rPr>
                <w:sz w:val="9"/>
                <w:szCs w:val="9"/>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Equipment,</w:t>
            </w:r>
          </w:p>
        </w:tc>
        <w:tc>
          <w:tcPr>
            <w:tcW w:w="960" w:type="dxa"/>
            <w:vAlign w:val="bottom"/>
            <w:tcBorders>
              <w:right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31,338</w:t>
            </w:r>
          </w:p>
        </w:tc>
        <w:tc>
          <w:tcPr>
            <w:tcW w:w="90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1,211</w:t>
            </w:r>
          </w:p>
        </w:tc>
        <w:tc>
          <w:tcPr>
            <w:tcW w:w="100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10,063</w:t>
            </w:r>
          </w:p>
        </w:tc>
        <w:tc>
          <w:tcPr>
            <w:tcW w:w="80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22,486</w:t>
            </w:r>
          </w:p>
        </w:tc>
        <w:tc>
          <w:tcPr>
            <w:tcW w:w="1120" w:type="dxa"/>
            <w:vAlign w:val="bottom"/>
            <w:tcBorders>
              <w:right w:val="single" w:sz="8" w:color="auto"/>
            </w:tcBorders>
          </w:tcPr>
          <w:p>
            <w:pPr>
              <w:spacing w:after="0"/>
              <w:rPr>
                <w:sz w:val="9"/>
                <w:szCs w:val="9"/>
                <w:color w:val="auto"/>
              </w:rPr>
            </w:pPr>
          </w:p>
        </w:tc>
        <w:tc>
          <w:tcPr>
            <w:tcW w:w="122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180" w:type="dxa"/>
            <w:vAlign w:val="bottom"/>
            <w:tcBorders>
              <w:left w:val="single" w:sz="8" w:color="auto"/>
              <w:right w:val="single" w:sz="8" w:color="auto"/>
            </w:tcBorders>
          </w:tcPr>
          <w:p>
            <w:pPr>
              <w:spacing w:after="0"/>
              <w:rPr>
                <w:sz w:val="8"/>
                <w:szCs w:val="8"/>
                <w:color w:val="auto"/>
              </w:rPr>
            </w:pPr>
          </w:p>
        </w:tc>
        <w:tc>
          <w:tcPr>
            <w:tcW w:w="1200" w:type="dxa"/>
            <w:vAlign w:val="bottom"/>
            <w:tcBorders>
              <w:right w:val="single" w:sz="8" w:color="auto"/>
            </w:tcBorders>
            <w:vMerge w:val="continue"/>
          </w:tcPr>
          <w:p>
            <w:pPr>
              <w:spacing w:after="0"/>
              <w:rPr>
                <w:sz w:val="8"/>
                <w:szCs w:val="8"/>
                <w:color w:val="auto"/>
              </w:rPr>
            </w:pPr>
          </w:p>
        </w:tc>
        <w:tc>
          <w:tcPr>
            <w:tcW w:w="960" w:type="dxa"/>
            <w:vAlign w:val="bottom"/>
            <w:tcBorders>
              <w:right w:val="single" w:sz="8" w:color="auto"/>
            </w:tcBorders>
            <w:vMerge w:val="continue"/>
          </w:tcPr>
          <w:p>
            <w:pPr>
              <w:spacing w:after="0"/>
              <w:rPr>
                <w:sz w:val="8"/>
                <w:szCs w:val="8"/>
                <w:color w:val="auto"/>
              </w:rPr>
            </w:pPr>
          </w:p>
        </w:tc>
        <w:tc>
          <w:tcPr>
            <w:tcW w:w="900" w:type="dxa"/>
            <w:vAlign w:val="bottom"/>
            <w:tcBorders>
              <w:right w:val="single" w:sz="8" w:color="auto"/>
            </w:tcBorders>
            <w:vMerge w:val="continue"/>
          </w:tcPr>
          <w:p>
            <w:pPr>
              <w:spacing w:after="0"/>
              <w:rPr>
                <w:sz w:val="8"/>
                <w:szCs w:val="8"/>
                <w:color w:val="auto"/>
              </w:rPr>
            </w:pPr>
          </w:p>
        </w:tc>
        <w:tc>
          <w:tcPr>
            <w:tcW w:w="1000" w:type="dxa"/>
            <w:vAlign w:val="bottom"/>
            <w:tcBorders>
              <w:right w:val="single" w:sz="8" w:color="auto"/>
            </w:tcBorders>
            <w:vMerge w:val="continue"/>
          </w:tcPr>
          <w:p>
            <w:pPr>
              <w:spacing w:after="0"/>
              <w:rPr>
                <w:sz w:val="8"/>
                <w:szCs w:val="8"/>
                <w:color w:val="auto"/>
              </w:rPr>
            </w:pPr>
          </w:p>
        </w:tc>
        <w:tc>
          <w:tcPr>
            <w:tcW w:w="1740" w:type="dxa"/>
            <w:vAlign w:val="bottom"/>
            <w:tcBorders>
              <w:right w:val="single" w:sz="8" w:color="auto"/>
            </w:tcBorders>
            <w:vMerge w:val="continue"/>
          </w:tcPr>
          <w:p>
            <w:pPr>
              <w:spacing w:after="0"/>
              <w:rPr>
                <w:sz w:val="8"/>
                <w:szCs w:val="8"/>
                <w:color w:val="auto"/>
              </w:rPr>
            </w:pPr>
          </w:p>
        </w:tc>
        <w:tc>
          <w:tcPr>
            <w:tcW w:w="800" w:type="dxa"/>
            <w:vAlign w:val="bottom"/>
            <w:tcBorders>
              <w:right w:val="single" w:sz="8" w:color="auto"/>
            </w:tcBorders>
            <w:vMerge w:val="continue"/>
          </w:tcPr>
          <w:p>
            <w:pPr>
              <w:spacing w:after="0"/>
              <w:rPr>
                <w:sz w:val="8"/>
                <w:szCs w:val="8"/>
                <w:color w:val="auto"/>
              </w:rPr>
            </w:pPr>
          </w:p>
        </w:tc>
        <w:tc>
          <w:tcPr>
            <w:tcW w:w="1120" w:type="dxa"/>
            <w:vAlign w:val="bottom"/>
            <w:tcBorders>
              <w:right w:val="single" w:sz="8" w:color="auto"/>
            </w:tcBorders>
          </w:tcPr>
          <w:p>
            <w:pPr>
              <w:spacing w:after="0"/>
              <w:rPr>
                <w:sz w:val="8"/>
                <w:szCs w:val="8"/>
                <w:color w:val="auto"/>
              </w:rPr>
            </w:pPr>
          </w:p>
        </w:tc>
        <w:tc>
          <w:tcPr>
            <w:tcW w:w="1220" w:type="dxa"/>
            <w:vAlign w:val="bottom"/>
            <w:tcBorders>
              <w:right w:val="single" w:sz="8" w:color="auto"/>
            </w:tcBorders>
          </w:tcPr>
          <w:p>
            <w:pPr>
              <w:spacing w:after="0"/>
              <w:rPr>
                <w:sz w:val="8"/>
                <w:szCs w:val="8"/>
                <w:color w:val="auto"/>
              </w:rPr>
            </w:pPr>
          </w:p>
        </w:tc>
        <w:tc>
          <w:tcPr>
            <w:tcW w:w="11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4"/>
        </w:trPr>
        <w:tc>
          <w:tcPr>
            <w:tcW w:w="1180" w:type="dxa"/>
            <w:vAlign w:val="bottom"/>
            <w:tcBorders>
              <w:left w:val="single" w:sz="8" w:color="auto"/>
              <w:right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and Fixtures</w:t>
            </w:r>
          </w:p>
        </w:tc>
        <w:tc>
          <w:tcPr>
            <w:tcW w:w="96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174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180" w:type="dxa"/>
            <w:vAlign w:val="bottom"/>
            <w:tcBorders>
              <w:left w:val="single" w:sz="8" w:color="auto"/>
              <w:right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land</w:t>
            </w:r>
          </w:p>
        </w:tc>
        <w:tc>
          <w:tcPr>
            <w:tcW w:w="96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340,148</w:t>
            </w:r>
          </w:p>
        </w:tc>
        <w:tc>
          <w:tcPr>
            <w:tcW w:w="9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340,148</w:t>
            </w:r>
          </w:p>
        </w:tc>
        <w:tc>
          <w:tcPr>
            <w:tcW w:w="17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1"/>
        </w:trPr>
        <w:tc>
          <w:tcPr>
            <w:tcW w:w="1180" w:type="dxa"/>
            <w:vAlign w:val="bottom"/>
            <w:tcBorders>
              <w:left w:val="single" w:sz="8" w:color="auto"/>
              <w:right w:val="single" w:sz="8" w:color="auto"/>
            </w:tcBorders>
          </w:tcPr>
          <w:p>
            <w:pPr>
              <w:spacing w:after="0"/>
              <w:rPr>
                <w:sz w:val="16"/>
                <w:szCs w:val="16"/>
                <w:color w:val="auto"/>
              </w:rPr>
            </w:pPr>
          </w:p>
        </w:tc>
        <w:tc>
          <w:tcPr>
            <w:tcW w:w="12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Tangible</w:t>
            </w:r>
          </w:p>
        </w:tc>
        <w:tc>
          <w:tcPr>
            <w:tcW w:w="96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174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right w:val="single" w:sz="8" w:color="auto"/>
            </w:tcBorders>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62,341</w:t>
            </w:r>
          </w:p>
        </w:tc>
        <w:tc>
          <w:tcPr>
            <w:tcW w:w="1120" w:type="dxa"/>
            <w:vAlign w:val="bottom"/>
            <w:tcBorders>
              <w:right w:val="single" w:sz="8" w:color="auto"/>
            </w:tcBorders>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82,707</w:t>
            </w:r>
          </w:p>
        </w:tc>
        <w:tc>
          <w:tcPr>
            <w:tcW w:w="0" w:type="dxa"/>
            <w:vAlign w:val="bottom"/>
          </w:tcPr>
          <w:p>
            <w:pPr>
              <w:spacing w:after="0"/>
              <w:rPr>
                <w:sz w:val="1"/>
                <w:szCs w:val="1"/>
                <w:color w:val="auto"/>
              </w:rPr>
            </w:pPr>
          </w:p>
        </w:tc>
      </w:tr>
      <w:tr>
        <w:trPr>
          <w:trHeight w:val="216"/>
        </w:trPr>
        <w:tc>
          <w:tcPr>
            <w:tcW w:w="1180" w:type="dxa"/>
            <w:vAlign w:val="bottom"/>
            <w:tcBorders>
              <w:left w:val="single" w:sz="8" w:color="auto"/>
              <w:right w:val="single" w:sz="8" w:color="auto"/>
            </w:tcBorders>
          </w:tcPr>
          <w:p>
            <w:pPr>
              <w:spacing w:after="0"/>
              <w:rPr>
                <w:sz w:val="18"/>
                <w:szCs w:val="18"/>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Leased</w:t>
            </w:r>
          </w:p>
        </w:tc>
        <w:tc>
          <w:tcPr>
            <w:tcW w:w="96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23,471</w:t>
            </w:r>
          </w:p>
        </w:tc>
        <w:tc>
          <w:tcPr>
            <w:tcW w:w="90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12,660</w:t>
            </w:r>
          </w:p>
        </w:tc>
        <w:tc>
          <w:tcPr>
            <w:tcW w:w="100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5,895</w:t>
            </w:r>
          </w:p>
        </w:tc>
        <w:tc>
          <w:tcPr>
            <w:tcW w:w="174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9,871</w:t>
            </w:r>
          </w:p>
        </w:tc>
        <w:tc>
          <w:tcPr>
            <w:tcW w:w="80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20,365</w:t>
            </w:r>
          </w:p>
        </w:tc>
        <w:tc>
          <w:tcPr>
            <w:tcW w:w="112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80" w:type="dxa"/>
            <w:vAlign w:val="bottom"/>
            <w:tcBorders>
              <w:left w:val="single" w:sz="8" w:color="auto"/>
              <w:right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Assets</w:t>
            </w:r>
          </w:p>
        </w:tc>
        <w:tc>
          <w:tcPr>
            <w:tcW w:w="96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174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80" w:type="dxa"/>
            <w:vAlign w:val="bottom"/>
            <w:tcBorders>
              <w:left w:val="single" w:sz="8" w:color="auto"/>
              <w:bottom w:val="single" w:sz="8" w:color="auto"/>
              <w:right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Total</w:t>
            </w:r>
          </w:p>
        </w:tc>
        <w:tc>
          <w:tcPr>
            <w:tcW w:w="96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997,422</w:t>
            </w:r>
          </w:p>
        </w:tc>
        <w:tc>
          <w:tcPr>
            <w:tcW w:w="9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13,872</w:t>
            </w:r>
          </w:p>
        </w:tc>
        <w:tc>
          <w:tcPr>
            <w:tcW w:w="10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801,363</w:t>
            </w:r>
          </w:p>
        </w:tc>
        <w:tc>
          <w:tcPr>
            <w:tcW w:w="17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57,851</w:t>
            </w:r>
          </w:p>
        </w:tc>
        <w:tc>
          <w:tcPr>
            <w:tcW w:w="8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152,079</w:t>
            </w:r>
          </w:p>
        </w:tc>
        <w:tc>
          <w:tcPr>
            <w:tcW w:w="11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268,271</w:t>
            </w:r>
          </w:p>
        </w:tc>
        <w:tc>
          <w:tcPr>
            <w:tcW w:w="11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420,351</w:t>
            </w:r>
          </w:p>
        </w:tc>
        <w:tc>
          <w:tcPr>
            <w:tcW w:w="0" w:type="dxa"/>
            <w:vAlign w:val="bottom"/>
          </w:tcPr>
          <w:p>
            <w:pPr>
              <w:spacing w:after="0"/>
              <w:rPr>
                <w:sz w:val="1"/>
                <w:szCs w:val="1"/>
                <w:color w:val="auto"/>
              </w:rPr>
            </w:pPr>
          </w:p>
        </w:tc>
      </w:tr>
      <w:tr>
        <w:trPr>
          <w:trHeight w:val="191"/>
        </w:trPr>
        <w:tc>
          <w:tcPr>
            <w:tcW w:w="1180" w:type="dxa"/>
            <w:vAlign w:val="bottom"/>
            <w:tcBorders>
              <w:left w:val="single" w:sz="8" w:color="auto"/>
              <w:right w:val="single" w:sz="8" w:color="auto"/>
            </w:tcBorders>
          </w:tcPr>
          <w:p>
            <w:pPr>
              <w:spacing w:after="0"/>
              <w:rPr>
                <w:sz w:val="16"/>
                <w:szCs w:val="16"/>
                <w:color w:val="auto"/>
              </w:rPr>
            </w:pPr>
          </w:p>
        </w:tc>
        <w:tc>
          <w:tcPr>
            <w:tcW w:w="12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Intangible</w:t>
            </w:r>
          </w:p>
        </w:tc>
        <w:tc>
          <w:tcPr>
            <w:tcW w:w="96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174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1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Intangible</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Leased</w:t>
            </w:r>
          </w:p>
        </w:tc>
        <w:tc>
          <w:tcPr>
            <w:tcW w:w="96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11,728</w:t>
            </w:r>
          </w:p>
        </w:tc>
        <w:tc>
          <w:tcPr>
            <w:tcW w:w="90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right w:val="single" w:sz="8" w:color="auto"/>
            </w:tcBorders>
          </w:tcPr>
          <w:p>
            <w:pPr>
              <w:spacing w:after="0"/>
              <w:rPr>
                <w:sz w:val="18"/>
                <w:szCs w:val="18"/>
                <w:color w:val="auto"/>
              </w:rPr>
            </w:pPr>
          </w:p>
        </w:tc>
        <w:tc>
          <w:tcPr>
            <w:tcW w:w="174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7,915</w:t>
            </w:r>
          </w:p>
        </w:tc>
        <w:tc>
          <w:tcPr>
            <w:tcW w:w="80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3,813</w:t>
            </w:r>
          </w:p>
        </w:tc>
        <w:tc>
          <w:tcPr>
            <w:tcW w:w="1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auto"/>
              <w:right w:val="single" w:sz="8" w:color="auto"/>
            </w:tcBorders>
            <w:vMerge w:val="continue"/>
          </w:tcPr>
          <w:p>
            <w:pPr>
              <w:spacing w:after="0"/>
              <w:rPr>
                <w:sz w:val="10"/>
                <w:szCs w:val="10"/>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Assets</w:t>
            </w:r>
          </w:p>
        </w:tc>
        <w:tc>
          <w:tcPr>
            <w:tcW w:w="96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174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11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1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11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fixed asset</w:t>
            </w:r>
          </w:p>
        </w:tc>
        <w:tc>
          <w:tcPr>
            <w:tcW w:w="1200" w:type="dxa"/>
            <w:vAlign w:val="bottom"/>
            <w:tcBorders>
              <w:bottom w:val="single" w:sz="8" w:color="auto"/>
              <w:right w:val="single" w:sz="8" w:color="auto"/>
            </w:tcBorders>
            <w:vMerge w:val="continue"/>
          </w:tcPr>
          <w:p>
            <w:pPr>
              <w:spacing w:after="0"/>
              <w:rPr>
                <w:sz w:val="9"/>
                <w:szCs w:val="9"/>
                <w:color w:val="auto"/>
              </w:rPr>
            </w:pPr>
          </w:p>
        </w:tc>
        <w:tc>
          <w:tcPr>
            <w:tcW w:w="960" w:type="dxa"/>
            <w:vAlign w:val="bottom"/>
            <w:tcBorders>
              <w:bottom w:val="single" w:sz="8" w:color="auto"/>
              <w:right w:val="single" w:sz="8" w:color="auto"/>
            </w:tcBorders>
          </w:tcPr>
          <w:p>
            <w:pPr>
              <w:spacing w:after="0"/>
              <w:rPr>
                <w:sz w:val="9"/>
                <w:szCs w:val="9"/>
                <w:color w:val="auto"/>
              </w:rPr>
            </w:pPr>
          </w:p>
        </w:tc>
        <w:tc>
          <w:tcPr>
            <w:tcW w:w="900" w:type="dxa"/>
            <w:vAlign w:val="bottom"/>
            <w:tcBorders>
              <w:bottom w:val="single" w:sz="8" w:color="auto"/>
              <w:right w:val="single" w:sz="8" w:color="auto"/>
            </w:tcBorders>
          </w:tcPr>
          <w:p>
            <w:pPr>
              <w:spacing w:after="0"/>
              <w:rPr>
                <w:sz w:val="9"/>
                <w:szCs w:val="9"/>
                <w:color w:val="auto"/>
              </w:rPr>
            </w:pPr>
          </w:p>
        </w:tc>
        <w:tc>
          <w:tcPr>
            <w:tcW w:w="1000" w:type="dxa"/>
            <w:vAlign w:val="bottom"/>
            <w:tcBorders>
              <w:bottom w:val="single" w:sz="8" w:color="auto"/>
              <w:right w:val="single" w:sz="8" w:color="auto"/>
            </w:tcBorders>
          </w:tcPr>
          <w:p>
            <w:pPr>
              <w:spacing w:after="0"/>
              <w:rPr>
                <w:sz w:val="9"/>
                <w:szCs w:val="9"/>
                <w:color w:val="auto"/>
              </w:rPr>
            </w:pPr>
          </w:p>
        </w:tc>
        <w:tc>
          <w:tcPr>
            <w:tcW w:w="1740" w:type="dxa"/>
            <w:vAlign w:val="bottom"/>
            <w:tcBorders>
              <w:bottom w:val="single" w:sz="8" w:color="auto"/>
              <w:right w:val="single" w:sz="8" w:color="auto"/>
            </w:tcBorders>
          </w:tcPr>
          <w:p>
            <w:pPr>
              <w:spacing w:after="0"/>
              <w:rPr>
                <w:sz w:val="9"/>
                <w:szCs w:val="9"/>
                <w:color w:val="auto"/>
              </w:rPr>
            </w:pPr>
          </w:p>
        </w:tc>
        <w:tc>
          <w:tcPr>
            <w:tcW w:w="800" w:type="dxa"/>
            <w:vAlign w:val="bottom"/>
            <w:tcBorders>
              <w:bottom w:val="single" w:sz="8" w:color="auto"/>
              <w:right w:val="single" w:sz="8" w:color="auto"/>
            </w:tcBorders>
          </w:tcPr>
          <w:p>
            <w:pPr>
              <w:spacing w:after="0"/>
              <w:rPr>
                <w:sz w:val="9"/>
                <w:szCs w:val="9"/>
                <w:color w:val="auto"/>
              </w:rPr>
            </w:pPr>
          </w:p>
        </w:tc>
        <w:tc>
          <w:tcPr>
            <w:tcW w:w="11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180" w:type="dxa"/>
            <w:vAlign w:val="bottom"/>
            <w:tcBorders>
              <w:left w:val="single" w:sz="8" w:color="auto"/>
              <w:right w:val="single" w:sz="8" w:color="auto"/>
            </w:tcBorders>
            <w:vMerge w:val="continue"/>
          </w:tcPr>
          <w:p>
            <w:pPr>
              <w:spacing w:after="0"/>
              <w:rPr>
                <w:sz w:val="8"/>
                <w:szCs w:val="8"/>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software</w:t>
            </w:r>
          </w:p>
        </w:tc>
        <w:tc>
          <w:tcPr>
            <w:tcW w:w="960" w:type="dxa"/>
            <w:vAlign w:val="bottom"/>
            <w:tcBorders>
              <w:right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260,677</w:t>
            </w:r>
          </w:p>
        </w:tc>
        <w:tc>
          <w:tcPr>
            <w:tcW w:w="90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right w:val="single" w:sz="8" w:color="auto"/>
            </w:tcBorders>
          </w:tcPr>
          <w:p>
            <w:pPr>
              <w:spacing w:after="0"/>
              <w:rPr>
                <w:sz w:val="8"/>
                <w:szCs w:val="8"/>
                <w:color w:val="auto"/>
              </w:rPr>
            </w:pPr>
          </w:p>
        </w:tc>
        <w:tc>
          <w:tcPr>
            <w:tcW w:w="174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55,859</w:t>
            </w:r>
          </w:p>
        </w:tc>
        <w:tc>
          <w:tcPr>
            <w:tcW w:w="80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204,818</w:t>
            </w:r>
          </w:p>
        </w:tc>
        <w:tc>
          <w:tcPr>
            <w:tcW w:w="11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1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180" w:type="dxa"/>
            <w:vAlign w:val="bottom"/>
            <w:tcBorders>
              <w:left w:val="single" w:sz="8" w:color="auto"/>
              <w:right w:val="single" w:sz="8" w:color="auto"/>
            </w:tcBorders>
          </w:tcPr>
          <w:p>
            <w:pPr>
              <w:spacing w:after="0"/>
              <w:rPr>
                <w:sz w:val="9"/>
                <w:szCs w:val="9"/>
                <w:color w:val="auto"/>
              </w:rPr>
            </w:pPr>
          </w:p>
        </w:tc>
        <w:tc>
          <w:tcPr>
            <w:tcW w:w="1200" w:type="dxa"/>
            <w:vAlign w:val="bottom"/>
            <w:tcBorders>
              <w:bottom w:val="single" w:sz="8" w:color="auto"/>
              <w:right w:val="single" w:sz="8" w:color="auto"/>
            </w:tcBorders>
            <w:vMerge w:val="continue"/>
          </w:tcPr>
          <w:p>
            <w:pPr>
              <w:spacing w:after="0"/>
              <w:rPr>
                <w:sz w:val="9"/>
                <w:szCs w:val="9"/>
                <w:color w:val="auto"/>
              </w:rPr>
            </w:pPr>
          </w:p>
        </w:tc>
        <w:tc>
          <w:tcPr>
            <w:tcW w:w="960" w:type="dxa"/>
            <w:vAlign w:val="bottom"/>
            <w:tcBorders>
              <w:bottom w:val="single" w:sz="8" w:color="auto"/>
              <w:right w:val="single" w:sz="8" w:color="auto"/>
            </w:tcBorders>
            <w:vMerge w:val="continue"/>
          </w:tcPr>
          <w:p>
            <w:pPr>
              <w:spacing w:after="0"/>
              <w:rPr>
                <w:sz w:val="9"/>
                <w:szCs w:val="9"/>
                <w:color w:val="auto"/>
              </w:rPr>
            </w:pPr>
          </w:p>
        </w:tc>
        <w:tc>
          <w:tcPr>
            <w:tcW w:w="900" w:type="dxa"/>
            <w:vAlign w:val="bottom"/>
            <w:tcBorders>
              <w:bottom w:val="single" w:sz="8" w:color="auto"/>
              <w:right w:val="single" w:sz="8" w:color="auto"/>
            </w:tcBorders>
            <w:vMerge w:val="continue"/>
          </w:tcPr>
          <w:p>
            <w:pPr>
              <w:spacing w:after="0"/>
              <w:rPr>
                <w:sz w:val="9"/>
                <w:szCs w:val="9"/>
                <w:color w:val="auto"/>
              </w:rPr>
            </w:pPr>
          </w:p>
        </w:tc>
        <w:tc>
          <w:tcPr>
            <w:tcW w:w="1000" w:type="dxa"/>
            <w:vAlign w:val="bottom"/>
            <w:tcBorders>
              <w:bottom w:val="single" w:sz="8" w:color="auto"/>
              <w:right w:val="single" w:sz="8" w:color="auto"/>
            </w:tcBorders>
          </w:tcPr>
          <w:p>
            <w:pPr>
              <w:spacing w:after="0"/>
              <w:rPr>
                <w:sz w:val="9"/>
                <w:szCs w:val="9"/>
                <w:color w:val="auto"/>
              </w:rPr>
            </w:pPr>
          </w:p>
        </w:tc>
        <w:tc>
          <w:tcPr>
            <w:tcW w:w="1740" w:type="dxa"/>
            <w:vAlign w:val="bottom"/>
            <w:tcBorders>
              <w:bottom w:val="single" w:sz="8" w:color="auto"/>
              <w:right w:val="single" w:sz="8" w:color="auto"/>
            </w:tcBorders>
            <w:vMerge w:val="continue"/>
          </w:tcPr>
          <w:p>
            <w:pPr>
              <w:spacing w:after="0"/>
              <w:rPr>
                <w:sz w:val="9"/>
                <w:szCs w:val="9"/>
                <w:color w:val="auto"/>
              </w:rPr>
            </w:pPr>
          </w:p>
        </w:tc>
        <w:tc>
          <w:tcPr>
            <w:tcW w:w="800" w:type="dxa"/>
            <w:vAlign w:val="bottom"/>
            <w:tcBorders>
              <w:bottom w:val="single" w:sz="8" w:color="auto"/>
              <w:right w:val="single" w:sz="8" w:color="auto"/>
            </w:tcBorders>
            <w:vMerge w:val="continue"/>
          </w:tcPr>
          <w:p>
            <w:pPr>
              <w:spacing w:after="0"/>
              <w:rPr>
                <w:sz w:val="9"/>
                <w:szCs w:val="9"/>
                <w:color w:val="auto"/>
              </w:rPr>
            </w:pPr>
          </w:p>
        </w:tc>
        <w:tc>
          <w:tcPr>
            <w:tcW w:w="11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1180" w:type="dxa"/>
            <w:vAlign w:val="bottom"/>
            <w:tcBorders>
              <w:left w:val="single" w:sz="8" w:color="auto"/>
              <w:bottom w:val="single" w:sz="8" w:color="auto"/>
              <w:right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Total</w:t>
            </w:r>
          </w:p>
        </w:tc>
        <w:tc>
          <w:tcPr>
            <w:tcW w:w="96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272,406</w:t>
            </w:r>
          </w:p>
        </w:tc>
        <w:tc>
          <w:tcPr>
            <w:tcW w:w="9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right w:val="single" w:sz="8" w:color="auto"/>
            </w:tcBorders>
          </w:tcPr>
          <w:p>
            <w:pPr>
              <w:spacing w:after="0"/>
              <w:rPr>
                <w:sz w:val="18"/>
                <w:szCs w:val="18"/>
                <w:color w:val="auto"/>
              </w:rPr>
            </w:pPr>
          </w:p>
        </w:tc>
        <w:tc>
          <w:tcPr>
            <w:tcW w:w="17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63,774</w:t>
            </w:r>
          </w:p>
        </w:tc>
        <w:tc>
          <w:tcPr>
            <w:tcW w:w="800" w:type="dxa"/>
            <w:vAlign w:val="bottom"/>
            <w:tcBorders>
              <w:bottom w:val="single" w:sz="8" w:color="auto"/>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180" w:type="dxa"/>
            <w:vAlign w:val="bottom"/>
            <w:tcBorders>
              <w:left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Investments</w:t>
            </w:r>
          </w:p>
        </w:tc>
        <w:tc>
          <w:tcPr>
            <w:tcW w:w="12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Long-term</w:t>
            </w:r>
          </w:p>
        </w:tc>
        <w:tc>
          <w:tcPr>
            <w:tcW w:w="960" w:type="dxa"/>
            <w:vAlign w:val="bottom"/>
            <w:tcBorders>
              <w:right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3,538</w:t>
            </w:r>
          </w:p>
        </w:tc>
        <w:tc>
          <w:tcPr>
            <w:tcW w:w="90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1,539</w:t>
            </w:r>
          </w:p>
        </w:tc>
        <w:tc>
          <w:tcPr>
            <w:tcW w:w="174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194</w:t>
            </w:r>
          </w:p>
        </w:tc>
        <w:tc>
          <w:tcPr>
            <w:tcW w:w="80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1,804</w:t>
            </w:r>
          </w:p>
        </w:tc>
        <w:tc>
          <w:tcPr>
            <w:tcW w:w="1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1180" w:type="dxa"/>
            <w:vAlign w:val="bottom"/>
            <w:tcBorders>
              <w:left w:val="single" w:sz="8" w:color="auto"/>
              <w:right w:val="single" w:sz="8" w:color="auto"/>
            </w:tcBorders>
            <w:vMerge w:val="restart"/>
          </w:tcPr>
          <w:p>
            <w:pPr>
              <w:ind w:left="280"/>
              <w:spacing w:after="0"/>
              <w:rPr>
                <w:sz w:val="20"/>
                <w:szCs w:val="20"/>
                <w:color w:val="auto"/>
              </w:rPr>
            </w:pPr>
            <w:r>
              <w:rPr>
                <w:rFonts w:ascii="Times New Roman" w:cs="Times New Roman" w:eastAsia="Times New Roman" w:hAnsi="Times New Roman"/>
                <w:sz w:val="18"/>
                <w:szCs w:val="18"/>
                <w:color w:val="auto"/>
              </w:rPr>
              <w:t>&amp; Others</w:t>
            </w: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upfront costs</w:t>
            </w:r>
          </w:p>
        </w:tc>
        <w:tc>
          <w:tcPr>
            <w:tcW w:w="960" w:type="dxa"/>
            <w:vAlign w:val="bottom"/>
            <w:tcBorders>
              <w:right w:val="single" w:sz="8" w:color="auto"/>
            </w:tcBorders>
            <w:vMerge w:val="continue"/>
          </w:tcPr>
          <w:p>
            <w:pPr>
              <w:spacing w:after="0"/>
              <w:rPr>
                <w:sz w:val="10"/>
                <w:szCs w:val="10"/>
                <w:color w:val="auto"/>
              </w:rPr>
            </w:pPr>
          </w:p>
        </w:tc>
        <w:tc>
          <w:tcPr>
            <w:tcW w:w="900" w:type="dxa"/>
            <w:vAlign w:val="bottom"/>
            <w:tcBorders>
              <w:right w:val="single" w:sz="8" w:color="auto"/>
            </w:tcBorders>
            <w:vMerge w:val="continue"/>
          </w:tcPr>
          <w:p>
            <w:pPr>
              <w:spacing w:after="0"/>
              <w:rPr>
                <w:sz w:val="10"/>
                <w:szCs w:val="10"/>
                <w:color w:val="auto"/>
              </w:rPr>
            </w:pPr>
          </w:p>
        </w:tc>
        <w:tc>
          <w:tcPr>
            <w:tcW w:w="1000" w:type="dxa"/>
            <w:vAlign w:val="bottom"/>
            <w:tcBorders>
              <w:right w:val="single" w:sz="8" w:color="auto"/>
            </w:tcBorders>
            <w:vMerge w:val="continue"/>
          </w:tcPr>
          <w:p>
            <w:pPr>
              <w:spacing w:after="0"/>
              <w:rPr>
                <w:sz w:val="10"/>
                <w:szCs w:val="10"/>
                <w:color w:val="auto"/>
              </w:rPr>
            </w:pPr>
          </w:p>
        </w:tc>
        <w:tc>
          <w:tcPr>
            <w:tcW w:w="1740" w:type="dxa"/>
            <w:vAlign w:val="bottom"/>
            <w:tcBorders>
              <w:right w:val="single" w:sz="8" w:color="auto"/>
            </w:tcBorders>
            <w:vMerge w:val="continue"/>
          </w:tcPr>
          <w:p>
            <w:pPr>
              <w:spacing w:after="0"/>
              <w:rPr>
                <w:sz w:val="10"/>
                <w:szCs w:val="10"/>
                <w:color w:val="auto"/>
              </w:rPr>
            </w:pPr>
          </w:p>
        </w:tc>
        <w:tc>
          <w:tcPr>
            <w:tcW w:w="800" w:type="dxa"/>
            <w:vAlign w:val="bottom"/>
            <w:tcBorders>
              <w:right w:val="single" w:sz="8" w:color="auto"/>
            </w:tcBorders>
            <w:vMerge w:val="continue"/>
          </w:tcPr>
          <w:p>
            <w:pPr>
              <w:spacing w:after="0"/>
              <w:rPr>
                <w:sz w:val="10"/>
                <w:szCs w:val="10"/>
                <w:color w:val="auto"/>
              </w:rPr>
            </w:pPr>
          </w:p>
        </w:tc>
        <w:tc>
          <w:tcPr>
            <w:tcW w:w="11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1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180" w:type="dxa"/>
            <w:vAlign w:val="bottom"/>
            <w:tcBorders>
              <w:left w:val="single" w:sz="8" w:color="auto"/>
              <w:right w:val="single" w:sz="8" w:color="auto"/>
            </w:tcBorders>
            <w:vMerge w:val="continue"/>
          </w:tcPr>
          <w:p>
            <w:pPr>
              <w:spacing w:after="0"/>
              <w:rPr>
                <w:sz w:val="9"/>
                <w:szCs w:val="9"/>
                <w:color w:val="auto"/>
              </w:rPr>
            </w:pPr>
          </w:p>
        </w:tc>
        <w:tc>
          <w:tcPr>
            <w:tcW w:w="1200" w:type="dxa"/>
            <w:vAlign w:val="bottom"/>
            <w:tcBorders>
              <w:bottom w:val="single" w:sz="8" w:color="auto"/>
              <w:right w:val="single" w:sz="8" w:color="auto"/>
            </w:tcBorders>
            <w:vMerge w:val="continue"/>
          </w:tcPr>
          <w:p>
            <w:pPr>
              <w:spacing w:after="0"/>
              <w:rPr>
                <w:sz w:val="9"/>
                <w:szCs w:val="9"/>
                <w:color w:val="auto"/>
              </w:rPr>
            </w:pPr>
          </w:p>
        </w:tc>
        <w:tc>
          <w:tcPr>
            <w:tcW w:w="960" w:type="dxa"/>
            <w:vAlign w:val="bottom"/>
            <w:tcBorders>
              <w:bottom w:val="single" w:sz="8" w:color="auto"/>
              <w:right w:val="single" w:sz="8" w:color="auto"/>
            </w:tcBorders>
          </w:tcPr>
          <w:p>
            <w:pPr>
              <w:spacing w:after="0"/>
              <w:rPr>
                <w:sz w:val="9"/>
                <w:szCs w:val="9"/>
                <w:color w:val="auto"/>
              </w:rPr>
            </w:pPr>
          </w:p>
        </w:tc>
        <w:tc>
          <w:tcPr>
            <w:tcW w:w="900" w:type="dxa"/>
            <w:vAlign w:val="bottom"/>
            <w:tcBorders>
              <w:bottom w:val="single" w:sz="8" w:color="auto"/>
              <w:right w:val="single" w:sz="8" w:color="auto"/>
            </w:tcBorders>
          </w:tcPr>
          <w:p>
            <w:pPr>
              <w:spacing w:after="0"/>
              <w:rPr>
                <w:sz w:val="9"/>
                <w:szCs w:val="9"/>
                <w:color w:val="auto"/>
              </w:rPr>
            </w:pPr>
          </w:p>
        </w:tc>
        <w:tc>
          <w:tcPr>
            <w:tcW w:w="1000" w:type="dxa"/>
            <w:vAlign w:val="bottom"/>
            <w:tcBorders>
              <w:bottom w:val="single" w:sz="8" w:color="auto"/>
              <w:right w:val="single" w:sz="8" w:color="auto"/>
            </w:tcBorders>
          </w:tcPr>
          <w:p>
            <w:pPr>
              <w:spacing w:after="0"/>
              <w:rPr>
                <w:sz w:val="9"/>
                <w:szCs w:val="9"/>
                <w:color w:val="auto"/>
              </w:rPr>
            </w:pPr>
          </w:p>
        </w:tc>
        <w:tc>
          <w:tcPr>
            <w:tcW w:w="1740" w:type="dxa"/>
            <w:vAlign w:val="bottom"/>
            <w:tcBorders>
              <w:bottom w:val="single" w:sz="8" w:color="auto"/>
              <w:right w:val="single" w:sz="8" w:color="auto"/>
            </w:tcBorders>
          </w:tcPr>
          <w:p>
            <w:pPr>
              <w:spacing w:after="0"/>
              <w:rPr>
                <w:sz w:val="9"/>
                <w:szCs w:val="9"/>
                <w:color w:val="auto"/>
              </w:rPr>
            </w:pPr>
          </w:p>
        </w:tc>
        <w:tc>
          <w:tcPr>
            <w:tcW w:w="800" w:type="dxa"/>
            <w:vAlign w:val="bottom"/>
            <w:tcBorders>
              <w:bottom w:val="single" w:sz="8" w:color="auto"/>
              <w:right w:val="single" w:sz="8" w:color="auto"/>
            </w:tcBorders>
          </w:tcPr>
          <w:p>
            <w:pPr>
              <w:spacing w:after="0"/>
              <w:rPr>
                <w:sz w:val="9"/>
                <w:szCs w:val="9"/>
                <w:color w:val="auto"/>
              </w:rPr>
            </w:pPr>
          </w:p>
        </w:tc>
        <w:tc>
          <w:tcPr>
            <w:tcW w:w="11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1180" w:type="dxa"/>
            <w:vAlign w:val="bottom"/>
            <w:tcBorders>
              <w:left w:val="single" w:sz="8" w:color="auto"/>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Capital</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Total</w:t>
            </w:r>
          </w:p>
        </w:tc>
        <w:tc>
          <w:tcPr>
            <w:tcW w:w="96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3,538</w:t>
            </w:r>
          </w:p>
        </w:tc>
        <w:tc>
          <w:tcPr>
            <w:tcW w:w="9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1,539</w:t>
            </w:r>
          </w:p>
        </w:tc>
        <w:tc>
          <w:tcPr>
            <w:tcW w:w="17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194</w:t>
            </w:r>
          </w:p>
        </w:tc>
        <w:tc>
          <w:tcPr>
            <w:tcW w:w="8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1,804</w:t>
            </w:r>
          </w:p>
        </w:tc>
        <w:tc>
          <w:tcPr>
            <w:tcW w:w="1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1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ind w:right="1070"/>
              <w:spacing w:after="0"/>
              <w:rPr>
                <w:sz w:val="20"/>
                <w:szCs w:val="20"/>
                <w:color w:val="auto"/>
              </w:rPr>
            </w:pPr>
            <w:r>
              <w:rPr>
                <w:rFonts w:ascii="Times New Roman" w:cs="Times New Roman" w:eastAsia="Times New Roman" w:hAnsi="Times New Roman"/>
                <w:sz w:val="18"/>
                <w:szCs w:val="18"/>
                <w:color w:val="auto"/>
              </w:rPr>
              <w:t>- 26 -</w:t>
            </w:r>
          </w:p>
        </w:tc>
        <w:tc>
          <w:tcPr>
            <w:tcW w:w="8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30" w:name="page31"/>
    <w:bookmarkEnd w:id="3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2.  Statement of Allowance</w:t>
            </w: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4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w w:val="97"/>
              </w:rPr>
              <w:t>(Unit: 1,000 yen)</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Period Length</w:t>
            </w:r>
          </w:p>
        </w:tc>
        <w:tc>
          <w:tcPr>
            <w:tcW w:w="13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8"/>
              </w:rPr>
              <w:t>Increments for</w:t>
            </w:r>
          </w:p>
        </w:tc>
        <w:tc>
          <w:tcPr>
            <w:tcW w:w="20" w:type="dxa"/>
            <w:vAlign w:val="bottom"/>
          </w:tcPr>
          <w:p>
            <w:pPr>
              <w:spacing w:after="0"/>
              <w:rPr>
                <w:sz w:val="18"/>
                <w:szCs w:val="18"/>
                <w:color w:val="auto"/>
              </w:rPr>
            </w:pPr>
          </w:p>
        </w:tc>
        <w:tc>
          <w:tcPr>
            <w:tcW w:w="12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9"/>
              </w:rPr>
              <w:t>Reduction in</w:t>
            </w:r>
          </w:p>
        </w:tc>
        <w:tc>
          <w:tcPr>
            <w:tcW w:w="1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End of Period</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Remaining</w:t>
            </w:r>
          </w:p>
        </w:tc>
        <w:tc>
          <w:tcPr>
            <w:tcW w:w="13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8"/>
              </w:rPr>
              <w:t>the current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the current</w:t>
            </w:r>
          </w:p>
        </w:tc>
        <w:tc>
          <w:tcPr>
            <w:tcW w:w="1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Remaining</w:t>
            </w:r>
          </w:p>
        </w:tc>
        <w:tc>
          <w:tcPr>
            <w:tcW w:w="0" w:type="dxa"/>
            <w:vAlign w:val="bottom"/>
          </w:tcPr>
          <w:p>
            <w:pPr>
              <w:spacing w:after="0"/>
              <w:rPr>
                <w:sz w:val="1"/>
                <w:szCs w:val="1"/>
                <w:color w:val="auto"/>
              </w:rPr>
            </w:pPr>
          </w:p>
        </w:tc>
      </w:tr>
      <w:tr>
        <w:trPr>
          <w:trHeight w:val="241"/>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Accounts</w:t>
            </w: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High</w:t>
            </w:r>
          </w:p>
        </w:tc>
        <w:tc>
          <w:tcPr>
            <w:tcW w:w="13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rPr>
              <w:t>fiscal year</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period</w:t>
            </w:r>
          </w:p>
        </w:tc>
        <w:tc>
          <w:tcPr>
            <w:tcW w:w="120" w:type="dxa"/>
            <w:vAlign w:val="bottom"/>
          </w:tcPr>
          <w:p>
            <w:pPr>
              <w:spacing w:after="0"/>
              <w:rPr>
                <w:sz w:val="20"/>
                <w:szCs w:val="20"/>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High</w:t>
            </w:r>
          </w:p>
        </w:tc>
        <w:tc>
          <w:tcPr>
            <w:tcW w:w="0" w:type="dxa"/>
            <w:vAlign w:val="bottom"/>
          </w:tcPr>
          <w:p>
            <w:pPr>
              <w:spacing w:after="0"/>
              <w:rPr>
                <w:sz w:val="1"/>
                <w:szCs w:val="1"/>
                <w:color w:val="auto"/>
              </w:rPr>
            </w:pPr>
          </w:p>
        </w:tc>
      </w:tr>
      <w:tr>
        <w:trPr>
          <w:trHeight w:val="216"/>
        </w:trPr>
        <w:tc>
          <w:tcPr>
            <w:tcW w:w="49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bad debts</w:t>
            </w: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151,440</w:t>
            </w: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113,190</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264,630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Bonus allowance</w:t>
            </w:r>
          </w:p>
        </w:tc>
        <w:tc>
          <w:tcPr>
            <w:tcW w:w="244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3,087</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1,507</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3,087</w:t>
            </w: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1,507</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Point Allowance</w:t>
            </w:r>
          </w:p>
        </w:tc>
        <w:tc>
          <w:tcPr>
            <w:tcW w:w="244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421</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221</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421</w:t>
            </w:r>
          </w:p>
        </w:tc>
        <w:tc>
          <w:tcPr>
            <w:tcW w:w="1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221</w:t>
            </w:r>
          </w:p>
        </w:tc>
        <w:tc>
          <w:tcPr>
            <w:tcW w:w="0" w:type="dxa"/>
            <w:vAlign w:val="bottom"/>
          </w:tcPr>
          <w:p>
            <w:pPr>
              <w:spacing w:after="0"/>
              <w:rPr>
                <w:sz w:val="1"/>
                <w:szCs w:val="1"/>
                <w:color w:val="auto"/>
              </w:rPr>
            </w:pPr>
          </w:p>
        </w:tc>
      </w:tr>
      <w:tr>
        <w:trPr>
          <w:trHeight w:val="234"/>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retirement benefits</w:t>
            </w:r>
          </w:p>
        </w:tc>
        <w:tc>
          <w:tcPr>
            <w:tcW w:w="244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37,005</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12,587</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3,829</w:t>
            </w: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45,763</w:t>
            </w:r>
          </w:p>
        </w:tc>
        <w:tc>
          <w:tcPr>
            <w:tcW w:w="0" w:type="dxa"/>
            <w:vAlign w:val="bottom"/>
          </w:tcPr>
          <w:p>
            <w:pPr>
              <w:spacing w:after="0"/>
              <w:rPr>
                <w:sz w:val="1"/>
                <w:szCs w:val="1"/>
                <w:color w:val="auto"/>
              </w:rPr>
            </w:pPr>
          </w:p>
        </w:tc>
      </w:tr>
      <w:tr>
        <w:trPr>
          <w:trHeight w:val="414"/>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3. Breakdown of selling, general and administrative expenses</w:t>
            </w: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8"/>
                <w:szCs w:val="18"/>
                <w:color w:val="auto"/>
              </w:rPr>
              <w:t>Current</w:t>
            </w:r>
          </w:p>
        </w:tc>
        <w:tc>
          <w:tcPr>
            <w:tcW w:w="13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w w:val="97"/>
              </w:rPr>
              <w:t>(Unit: 1,000 yen)</w:t>
            </w:r>
          </w:p>
        </w:tc>
        <w:tc>
          <w:tcPr>
            <w:tcW w:w="0" w:type="dxa"/>
            <w:vAlign w:val="bottom"/>
          </w:tcPr>
          <w:p>
            <w:pPr>
              <w:spacing w:after="0"/>
              <w:rPr>
                <w:sz w:val="1"/>
                <w:szCs w:val="1"/>
                <w:color w:val="auto"/>
              </w:rPr>
            </w:pPr>
          </w:p>
        </w:tc>
      </w:tr>
      <w:tr>
        <w:trPr>
          <w:trHeight w:val="198"/>
        </w:trPr>
        <w:tc>
          <w:tcPr>
            <w:tcW w:w="4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Accounts</w:t>
            </w: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Balance</w:t>
            </w:r>
          </w:p>
        </w:tc>
        <w:tc>
          <w:tcPr>
            <w:tcW w:w="120" w:type="dxa"/>
            <w:vAlign w:val="bottom"/>
          </w:tcPr>
          <w:p>
            <w:pPr>
              <w:spacing w:after="0"/>
              <w:rPr>
                <w:sz w:val="20"/>
                <w:szCs w:val="20"/>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Description</w:t>
            </w:r>
          </w:p>
        </w:tc>
        <w:tc>
          <w:tcPr>
            <w:tcW w:w="0" w:type="dxa"/>
            <w:vAlign w:val="bottom"/>
          </w:tcPr>
          <w:p>
            <w:pPr>
              <w:spacing w:after="0"/>
              <w:rPr>
                <w:sz w:val="1"/>
                <w:szCs w:val="1"/>
                <w:color w:val="auto"/>
              </w:rPr>
            </w:pPr>
          </w:p>
        </w:tc>
      </w:tr>
      <w:tr>
        <w:trPr>
          <w:trHeight w:val="216"/>
        </w:trPr>
        <w:tc>
          <w:tcPr>
            <w:tcW w:w="49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Advertising expenses</w:t>
            </w: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22,678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Sales promotion expenses</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43,800</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Packing charges</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411,828</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Amount of point provision</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gridSpan w:val="2"/>
          </w:tcPr>
          <w:p>
            <w:pPr>
              <w:spacing w:after="0" w:line="181" w:lineRule="exact"/>
              <w:rPr>
                <w:sz w:val="20"/>
                <w:szCs w:val="20"/>
                <w:color w:val="auto"/>
              </w:rPr>
            </w:pPr>
            <w:r>
              <w:rPr>
                <w:rFonts w:ascii="MS PGothic" w:cs="MS PGothic" w:eastAsia="MS PGothic" w:hAnsi="MS PGothic"/>
                <w:sz w:val="18"/>
                <w:szCs w:val="18"/>
                <w:color w:val="auto"/>
                <w:w w:val="77"/>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199</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inventory disposal loss</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Executive compensation</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59,350</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Salary allowance</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361,788</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bonuses</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4,181</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Statutory benefits</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46,279</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Benefit expenses</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686</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121,626</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Repair costs</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980</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Hygiene costs</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1,396</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Consumables costs</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10,378</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Utilities</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11,401</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Travel  expenses</w:t>
            </w: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41,932</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Commission and fees</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795,878</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Taxes and dues</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16,639</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Entertainment expenses</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66,097</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Insurance premiums</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16,436</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Communication costs</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3,438</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Membership fees</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153</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vehicles</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13,259</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Lease fee</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4,485</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Ground rent</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118,054</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Advisory fees</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8,200</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Meeting fees</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915</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Retirement benefit costs</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12,587</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Miscellaneous expenses</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672</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long-term prepaid expenses</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194</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bad debts</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113,190</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Performance variance</w:t>
            </w: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5,048</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360" w:type="dxa"/>
            <w:vAlign w:val="bottom"/>
            <w:tcBorders>
              <w:top w:val="single" w:sz="8" w:color="CCEEFF"/>
              <w:bottom w:val="single" w:sz="8" w:color="CCEEFF"/>
            </w:tcBorders>
            <w:gridSpan w:val="5"/>
            <w:shd w:val="clear" w:color="auto" w:fill="CCEEFF"/>
          </w:tcPr>
          <w:p>
            <w:pPr>
              <w:ind w:left="2420"/>
              <w:spacing w:after="0"/>
              <w:rPr>
                <w:sz w:val="20"/>
                <w:szCs w:val="20"/>
                <w:color w:val="auto"/>
              </w:rPr>
            </w:pPr>
            <w:r>
              <w:rPr>
                <w:rFonts w:ascii="Times New Roman" w:cs="Times New Roman" w:eastAsia="Times New Roman" w:hAnsi="Times New Roman"/>
                <w:sz w:val="18"/>
                <w:szCs w:val="18"/>
                <w:color w:val="auto"/>
              </w:rPr>
              <w:t>Total Selling, General and Administrative Expenses</w:t>
            </w:r>
          </w:p>
        </w:tc>
        <w:tc>
          <w:tcPr>
            <w:tcW w:w="11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2,313,464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642"/>
        </w:trPr>
        <w:tc>
          <w:tcPr>
            <w:tcW w:w="49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- 27 -</w:t>
            </w: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SimSun">
    <w:panose1 w:val="02010600030101010101"/>
    <w:charset w:val="86"/>
    <w:family w:val="auto"/>
    <w:pitch w:val="variable"/>
    <w:sig w:usb0="00000003" w:usb1="288F0000" w:usb2="00000006" w:usb3="00000000" w:csb0="00040001" w:csb1="00000000"/>
  </w:font>
</w:fonts>
</file>

<file path=word/numbering.xml><?xml version="1.0" encoding="utf-8"?>
<w:numbering xmlns:w="http://schemas.openxmlformats.org/wordprocessingml/2006/main">
  <w:abstractNum w:abstractNumId="0">
    <w:nsid w:val="75A2A8D4"/>
    <w:multiLevelType w:val="hybridMultilevel"/>
    <w:lvl w:ilvl="0">
      <w:lvlJc w:val="left"/>
      <w:lvlText w:val="%1."/>
      <w:numFmt w:val="decimal"/>
      <w:start w:val="1"/>
    </w:lvl>
  </w:abstractNum>
  <w:abstractNum w:abstractNumId="1">
    <w:nsid w:val="8EDBDAB"/>
    <w:multiLevelType w:val="hybridMultilevel"/>
    <w:lvl w:ilvl="0">
      <w:lvlJc w:val="left"/>
      <w:lvlText w:val="%1."/>
      <w:numFmt w:val="decimal"/>
      <w:start w:val="2"/>
    </w:lvl>
  </w:abstractNum>
  <w:abstractNum w:abstractNumId="2">
    <w:nsid w:val="79838CB2"/>
    <w:multiLevelType w:val="hybridMultilevel"/>
    <w:lvl w:ilvl="0">
      <w:lvlJc w:val="left"/>
      <w:lvlText w:val="(%1)"/>
      <w:numFmt w:val="decimal"/>
      <w:start w:val="1"/>
    </w:lvl>
  </w:abstractNum>
  <w:abstractNum w:abstractNumId="3">
    <w:nsid w:val="4353D0CD"/>
    <w:multiLevelType w:val="hybridMultilevel"/>
    <w:lvl w:ilvl="0">
      <w:lvlJc w:val="left"/>
      <w:lvlText w:val="*"/>
      <w:numFmt w:val="bullet"/>
      <w:start w:val="1"/>
    </w:lvl>
    <w:lvl w:ilvl="1">
      <w:lvlJc w:val="left"/>
      <w:lvlText w:val="-"/>
      <w:numFmt w:val="bullet"/>
      <w:start w:val="1"/>
    </w:lvl>
  </w:abstractNum>
  <w:abstractNum w:abstractNumId="4">
    <w:nsid w:val="B03E0C6"/>
    <w:multiLevelType w:val="hybridMultilevel"/>
    <w:lvl w:ilvl="0">
      <w:lvlJc w:val="left"/>
      <w:lvlText w:val="%1."/>
      <w:numFmt w:val="decimal"/>
      <w:start w:val="1"/>
    </w:lvl>
    <w:lvl w:ilvl="1">
      <w:lvlJc w:val="left"/>
      <w:lvlText w:val="(%2)"/>
      <w:numFmt w:val="decimal"/>
      <w:start w:val="1"/>
    </w:lvl>
  </w:abstractNum>
  <w:abstractNum w:abstractNumId="5">
    <w:nsid w:val="189A769B"/>
    <w:multiLevelType w:val="hybridMultilevel"/>
    <w:lvl w:ilvl="0">
      <w:lvlJc w:val="left"/>
      <w:lvlText w:val="(%1)"/>
      <w:numFmt w:val="decimal"/>
      <w:start w:val="2"/>
    </w:lvl>
    <w:lvl w:ilvl="1">
      <w:lvlJc w:val="left"/>
      <w:lvlText w:val="①"/>
      <w:numFmt w:val="bullet"/>
      <w:start w:val="1"/>
    </w:lvl>
    <w:lvl w:ilvl="2">
      <w:lvlJc w:val="left"/>
      <w:lvlText w:val="-"/>
      <w:numFmt w:val="bullet"/>
      <w:start w:val="1"/>
    </w:lvl>
  </w:abstractNum>
  <w:abstractNum w:abstractNumId="6">
    <w:nsid w:val="54E49EB4"/>
    <w:multiLevelType w:val="hybridMultilevel"/>
    <w:lvl w:ilvl="0">
      <w:lvlJc w:val="left"/>
      <w:lvlText w:val="(%1)"/>
      <w:numFmt w:val="decimal"/>
      <w:start w:val="4"/>
    </w:lvl>
    <w:lvl w:ilvl="1">
      <w:lvlJc w:val="left"/>
      <w:lvlText w:val="■"/>
      <w:numFmt w:val="bullet"/>
      <w:start w:val="1"/>
    </w:lvl>
  </w:abstractNum>
  <w:abstractNum w:abstractNumId="7">
    <w:nsid w:val="71F32454"/>
    <w:multiLevelType w:val="hybridMultilevel"/>
    <w:lvl w:ilvl="0">
      <w:lvlJc w:val="left"/>
      <w:lvlText w:val="(%1)"/>
      <w:numFmt w:val="decimal"/>
      <w:start w:val="9"/>
    </w:lvl>
  </w:abstractNum>
  <w:abstractNum w:abstractNumId="8">
    <w:nsid w:val="2CA88611"/>
    <w:multiLevelType w:val="hybridMultilevel"/>
    <w:lvl w:ilvl="0">
      <w:lvlJc w:val="left"/>
      <w:lvlText w:val="%1."/>
      <w:numFmt w:val="decimal"/>
      <w:start w:val="2"/>
    </w:lvl>
    <w:lvl w:ilvl="1">
      <w:lvlJc w:val="left"/>
      <w:lvlText w:val="①"/>
      <w:numFmt w:val="bullet"/>
      <w:start w:val="1"/>
    </w:lvl>
  </w:abstractNum>
  <w:abstractNum w:abstractNumId="9">
    <w:nsid w:val="836C40E"/>
    <w:multiLevelType w:val="hybridMultilevel"/>
    <w:lvl w:ilvl="0">
      <w:lvlJc w:val="left"/>
      <w:lvlText w:val="②"/>
      <w:numFmt w:val="bullet"/>
      <w:start w:val="1"/>
    </w:lvl>
  </w:abstractNum>
  <w:abstractNum w:abstractNumId="10">
    <w:nsid w:val="2901D82"/>
    <w:multiLevelType w:val="hybridMultilevel"/>
    <w:lvl w:ilvl="0">
      <w:lvlJc w:val="left"/>
      <w:lvlText w:val="%1."/>
      <w:numFmt w:val="decimal"/>
      <w:start w:val="3"/>
    </w:lvl>
  </w:abstractNum>
  <w:abstractNum w:abstractNumId="11">
    <w:nsid w:val="3A95F874"/>
    <w:multiLevelType w:val="hybridMultilevel"/>
    <w:lvl w:ilvl="0">
      <w:lvlJc w:val="left"/>
      <w:lvlText w:val="(%1)"/>
      <w:numFmt w:val="decimal"/>
      <w:start w:val="1"/>
    </w:lvl>
  </w:abstractNum>
  <w:abstractNum w:abstractNumId="12">
    <w:nsid w:val="8138641"/>
    <w:multiLevelType w:val="hybridMultilevel"/>
    <w:lvl w:ilvl="0">
      <w:lvlJc w:val="left"/>
      <w:lvlText w:val="②"/>
      <w:numFmt w:val="bullet"/>
      <w:start w:val="1"/>
    </w:lvl>
  </w:abstractNum>
  <w:abstractNum w:abstractNumId="13">
    <w:nsid w:val="1E7FF521"/>
    <w:multiLevelType w:val="hybridMultilevel"/>
    <w:lvl w:ilvl="0">
      <w:lvlJc w:val="left"/>
      <w:lvlText w:val="③"/>
      <w:numFmt w:val="bullet"/>
      <w:start w:val="1"/>
    </w:lvl>
  </w:abstractNum>
  <w:abstractNum w:abstractNumId="14">
    <w:nsid w:val="7C3DBD3D"/>
    <w:multiLevelType w:val="hybridMultilevel"/>
    <w:lvl w:ilvl="0">
      <w:lvlJc w:val="left"/>
      <w:lvlText w:val="④"/>
      <w:numFmt w:val="bullet"/>
      <w:start w:val="1"/>
    </w:lvl>
  </w:abstractNum>
  <w:abstractNum w:abstractNumId="15">
    <w:nsid w:val="737B8DDC"/>
    <w:multiLevelType w:val="hybridMultilevel"/>
    <w:lvl w:ilvl="0">
      <w:lvlJc w:val="left"/>
      <w:lvlText w:val="⑤"/>
      <w:numFmt w:val="bullet"/>
      <w:start w:val="1"/>
    </w:lvl>
  </w:abstractNum>
  <w:abstractNum w:abstractNumId="16">
    <w:nsid w:val="6CEAF087"/>
    <w:multiLevelType w:val="hybridMultilevel"/>
    <w:lvl w:ilvl="0">
      <w:lvlJc w:val="left"/>
      <w:lvlText w:val="⑥"/>
      <w:numFmt w:val="bullet"/>
      <w:start w:val="1"/>
    </w:lvl>
    <w:lvl w:ilvl="1">
      <w:lvlJc w:val="left"/>
      <w:lvlText w:val="%2."/>
      <w:numFmt w:val="decimal"/>
      <w:start w:val="1"/>
    </w:lvl>
  </w:abstractNum>
  <w:abstractNum w:abstractNumId="17">
    <w:nsid w:val="22221A70"/>
    <w:multiLevelType w:val="hybridMultilevel"/>
    <w:lvl w:ilvl="0">
      <w:lvlJc w:val="left"/>
      <w:lvlText w:val="(%1)"/>
      <w:numFmt w:val="decimal"/>
      <w:start w:val="1"/>
    </w:lvl>
    <w:lvl w:ilvl="1">
      <w:lvlJc w:val="left"/>
      <w:lvlText w:val="⑦"/>
      <w:numFmt w:val="bullet"/>
      <w:start w:val="1"/>
    </w:lvl>
    <w:lvl w:ilvl="2">
      <w:lvlJc w:val="left"/>
      <w:lvlText w:val="-"/>
      <w:numFmt w:val="bullet"/>
      <w:start w:val="1"/>
    </w:lvl>
  </w:abstractNum>
  <w:abstractNum w:abstractNumId="18">
    <w:nsid w:val="4516DDE9"/>
    <w:multiLevelType w:val="hybridMultilevel"/>
    <w:lvl w:ilvl="0">
      <w:lvlJc w:val="left"/>
      <w:lvlText w:val="⑥"/>
      <w:numFmt w:val="bullet"/>
      <w:start w:val="1"/>
    </w:lvl>
  </w:abstractNum>
  <w:abstractNum w:abstractNumId="19">
    <w:nsid w:val="3006C83E"/>
    <w:multiLevelType w:val="hybridMultilevel"/>
    <w:lvl w:ilvl="0">
      <w:lvlJc w:val="left"/>
      <w:lvlText w:val="%1."/>
      <w:numFmt w:val="decimal"/>
      <w:start w:val="1"/>
    </w:lvl>
  </w:abstractNum>
  <w:abstractNum w:abstractNumId="20">
    <w:nsid w:val="614FD4A1"/>
    <w:multiLevelType w:val="hybridMultilevel"/>
    <w:lvl w:ilvl="0">
      <w:lvlJc w:val="left"/>
      <w:lvlText w:val="%1."/>
      <w:numFmt w:val="decimal"/>
      <w:start w:val="2"/>
    </w:lvl>
  </w:abstractNum>
  <w:abstractNum w:abstractNumId="21">
    <w:nsid w:val="419AC241"/>
    <w:multiLevelType w:val="hybridMultilevel"/>
    <w:lvl w:ilvl="0">
      <w:lvlJc w:val="left"/>
      <w:lvlText w:val="%1."/>
      <w:numFmt w:val="decimal"/>
      <w:start w:val="4"/>
    </w:lvl>
    <w:lvl w:ilvl="1">
      <w:lvlJc w:val="left"/>
      <w:lvlText w:val="(%2)"/>
      <w:numFmt w:val="decimal"/>
      <w:start w:val="1"/>
    </w:lvl>
  </w:abstractNum>
  <w:abstractNum w:abstractNumId="22">
    <w:nsid w:val="5577F8E1"/>
    <w:multiLevelType w:val="hybridMultilevel"/>
    <w:lvl w:ilvl="0">
      <w:lvlJc w:val="left"/>
      <w:lvlText w:val="%1."/>
      <w:numFmt w:val="decimal"/>
      <w:start w:val="2"/>
    </w:lvl>
    <w:lvl w:ilvl="1">
      <w:lvlJc w:val="left"/>
      <w:lvlText w:val="-"/>
      <w:numFmt w:val="bullet"/>
      <w:start w:val="1"/>
    </w:lvl>
  </w:abstractNum>
  <w:abstractNum w:abstractNumId="23">
    <w:nsid w:val="440BADFC"/>
    <w:multiLevelType w:val="hybridMultilevel"/>
    <w:lvl w:ilvl="0">
      <w:lvlJc w:val="left"/>
      <w:lvlText w:val="%1"/>
      <w:numFmt w:val="decimal"/>
      <w:start w:val="1"/>
    </w:lvl>
    <w:lvl w:ilvl="1">
      <w:lvlJc w:val="left"/>
      <w:lvlText w:val="%2"/>
      <w:numFmt w:val="decimal"/>
      <w:start w:val="1"/>
    </w:lvl>
    <w:lvl w:ilvl="2">
      <w:lvlJc w:val="left"/>
      <w:lvlText w:val="%3."/>
      <w:numFmt w:val="decimal"/>
      <w:start w:val="2"/>
    </w:lvl>
    <w:lvl w:ilvl="3">
      <w:lvlJc w:val="left"/>
      <w:lvlText w:val="-"/>
      <w:numFmt w:val="bullet"/>
      <w:start w:val="1"/>
    </w:lvl>
  </w:abstractNum>
  <w:abstractNum w:abstractNumId="24">
    <w:nsid w:val="5072367"/>
    <w:multiLevelType w:val="hybridMultilevel"/>
    <w:lvl w:ilvl="0">
      <w:lvlJc w:val="left"/>
      <w:lvlText w:val="%1."/>
      <w:numFmt w:val="decimal"/>
      <w:start w:val="5"/>
    </w:lvl>
    <w:lvl w:ilvl="1">
      <w:lvlJc w:val="left"/>
      <w:lvlText w:val="(%2)"/>
      <w:numFmt w:val="decimal"/>
      <w:start w:val="1"/>
    </w:lvl>
    <w:lvl w:ilvl="2">
      <w:lvlJc w:val="left"/>
      <w:lvlText w:val="%3"/>
      <w:numFmt w:val="decimal"/>
      <w:start w:val="1"/>
    </w:lvl>
    <w:lvl w:ilvl="3">
      <w:lvlJc w:val="left"/>
      <w:lvlText w:val="-"/>
      <w:numFmt w:val="bullet"/>
      <w:start w:val="1"/>
    </w:lvl>
  </w:abstractNum>
  <w:abstractNum w:abstractNumId="25">
    <w:nsid w:val="3804823E"/>
    <w:multiLevelType w:val="hybridMultilevel"/>
    <w:lvl w:ilvl="0">
      <w:lvlJc w:val="left"/>
      <w:lvlText w:val="(%1)"/>
      <w:numFmt w:val="decimal"/>
      <w:start w:val="3"/>
    </w:lvl>
    <w:lvl w:ilvl="1">
      <w:lvlJc w:val="left"/>
      <w:lvlText w:val="③"/>
      <w:numFmt w:val="bullet"/>
      <w:start w:val="1"/>
    </w:lvl>
  </w:abstractNum>
  <w:abstractNum w:abstractNumId="26">
    <w:nsid w:val="77465F01"/>
    <w:multiLevelType w:val="hybridMultilevel"/>
    <w:lvl w:ilvl="0">
      <w:lvlJc w:val="left"/>
      <w:lvlText w:val="(%1)"/>
      <w:numFmt w:val="decimal"/>
      <w:start w:val="4"/>
    </w:lvl>
    <w:lvl w:ilvl="1">
      <w:lvlJc w:val="left"/>
      <w:lvlText w:val="④"/>
      <w:numFmt w:val="bullet"/>
      <w:start w:val="1"/>
    </w:lvl>
    <w:lvl w:ilvl="2">
      <w:lvlJc w:val="left"/>
      <w:lvlText w:val="-"/>
      <w:numFmt w:val="bullet"/>
      <w:start w:val="1"/>
    </w:lvl>
  </w:abstractNum>
  <w:abstractNum w:abstractNumId="27">
    <w:nsid w:val="7724C67E"/>
    <w:multiLevelType w:val="hybridMultilevel"/>
    <w:lvl w:ilvl="0">
      <w:lvlJc w:val="left"/>
      <w:lvlText w:val="(%1)"/>
      <w:numFmt w:val="decimal"/>
      <w:start w:val="9"/>
    </w:lvl>
  </w:abstractNum>
  <w:abstractNum w:abstractNumId="28">
    <w:nsid w:val="5C482A97"/>
    <w:multiLevelType w:val="hybridMultilevel"/>
    <w:lvl w:ilvl="0">
      <w:lvlJc w:val="left"/>
      <w:lvlText w:val="%1."/>
      <w:numFmt w:val="decimal"/>
      <w:start w:val="6"/>
    </w:lvl>
  </w:abstractNum>
  <w:abstractNum w:abstractNumId="29">
    <w:nsid w:val="2463B9EA"/>
    <w:multiLevelType w:val="hybridMultilevel"/>
    <w:lvl w:ilvl="0">
      <w:lvlJc w:val="left"/>
      <w:lvlText w:val="%1."/>
      <w:numFmt w:val="decimal"/>
      <w:start w:val="1"/>
    </w:lvl>
    <w:lvl w:ilvl="1">
      <w:lvlJc w:val="left"/>
      <w:lvlText w:val="(%2)"/>
      <w:numFmt w:val="decimal"/>
      <w:start w:val="1"/>
    </w:lvl>
    <w:lvl w:ilvl="2">
      <w:lvlJc w:val="left"/>
      <w:lvlText w:val="①"/>
      <w:numFmt w:val="bullet"/>
      <w:start w:val="1"/>
    </w:lvl>
  </w:abstractNum>
  <w:abstractNum w:abstractNumId="30">
    <w:nsid w:val="5E884ADC"/>
    <w:multiLevelType w:val="hybridMultilevel"/>
    <w:lvl w:ilvl="0">
      <w:lvlJc w:val="left"/>
      <w:lvlText w:val="(%1)"/>
      <w:numFmt w:val="decimal"/>
      <w:start w:val="3"/>
    </w:lvl>
    <w:lvl w:ilvl="1">
      <w:lvlJc w:val="left"/>
      <w:lvlText w:val="②"/>
      <w:numFmt w:val="bullet"/>
      <w:start w:val="1"/>
    </w:lvl>
  </w:abstractNum>
  <w:abstractNum w:abstractNumId="31">
    <w:nsid w:val="51EAD36B"/>
    <w:multiLevelType w:val="hybridMultilevel"/>
    <w:lvl w:ilvl="0">
      <w:lvlJc w:val="left"/>
      <w:lvlText w:val="(%1)"/>
      <w:numFmt w:val="decimal"/>
      <w:start w:val="2"/>
    </w:lvl>
    <w:lvl w:ilvl="1">
      <w:lvlJc w:val="left"/>
      <w:lvlText w:val="-"/>
      <w:numFmt w:val="bullet"/>
      <w:start w:val="1"/>
    </w:lvl>
  </w:abstractNum>
  <w:abstractNum w:abstractNumId="32">
    <w:nsid w:val="2D517796"/>
    <w:multiLevelType w:val="hybridMultilevel"/>
    <w:lvl w:ilvl="0">
      <w:lvlJc w:val="left"/>
      <w:lvlText w:val="③"/>
      <w:numFmt w:val="bullet"/>
      <w:start w:val="1"/>
    </w:lvl>
  </w:abstractNum>
  <w:abstractNum w:abstractNumId="33">
    <w:nsid w:val="580BD78F"/>
    <w:multiLevelType w:val="hybridMultilevel"/>
    <w:lvl w:ilvl="0">
      <w:lvlJc w:val="left"/>
      <w:lvlText w:val="④"/>
      <w:numFmt w:val="bullet"/>
      <w:start w:val="1"/>
    </w:lvl>
  </w:abstractNum>
  <w:abstractNum w:abstractNumId="34">
    <w:nsid w:val="153EA438"/>
    <w:multiLevelType w:val="hybridMultilevel"/>
    <w:lvl w:ilvl="0">
      <w:lvlJc w:val="left"/>
      <w:lvlText w:val="(%1)"/>
      <w:numFmt w:val="decimal"/>
      <w:start w:val="5"/>
    </w:lvl>
    <w:lvl w:ilvl="1">
      <w:lvlJc w:val="left"/>
      <w:lvlText w:val="-"/>
      <w:numFmt w:val="bullet"/>
      <w:start w:val="1"/>
    </w:lvl>
  </w:abstractNum>
  <w:abstractNum w:abstractNumId="35">
    <w:nsid w:val="3855585C"/>
    <w:multiLevelType w:val="hybridMultilevel"/>
    <w:lvl w:ilvl="0">
      <w:lvlJc w:val="left"/>
      <w:lvlText w:val="%1."/>
      <w:numFmt w:val="decimal"/>
      <w:start w:val="2"/>
    </w:lvl>
    <w:lvl w:ilvl="1">
      <w:lvlJc w:val="left"/>
      <w:lvlText w:val="(%2)"/>
      <w:numFmt w:val="decimal"/>
      <w:start w:val="1"/>
    </w:lvl>
  </w:abstractNum>
  <w:abstractNum w:abstractNumId="36">
    <w:nsid w:val="70A64E2A"/>
    <w:multiLevelType w:val="hybridMultilevel"/>
    <w:lvl w:ilvl="0">
      <w:lvlJc w:val="left"/>
      <w:lvlText w:val="%1"/>
      <w:numFmt w:val="decimal"/>
      <w:start w:val="1"/>
    </w:lvl>
    <w:lvl w:ilvl="1">
      <w:lvlJc w:val="left"/>
      <w:lvlText w:val="(%2)"/>
      <w:numFmt w:val="decimal"/>
      <w:start w:val="2"/>
    </w:lvl>
  </w:abstractNum>
  <w:abstractNum w:abstractNumId="37">
    <w:nsid w:val="6A2342EC"/>
    <w:multiLevelType w:val="hybridMultilevel"/>
    <w:lvl w:ilvl="0">
      <w:lvlJc w:val="left"/>
      <w:lvlText w:val="%1."/>
      <w:numFmt w:val="decimal"/>
      <w:start w:val="3"/>
    </w:lvl>
    <w:lvl w:ilvl="1">
      <w:lvlJc w:val="left"/>
      <w:lvlText w:val="(%2)"/>
      <w:numFmt w:val="decimal"/>
      <w:start w:val="1"/>
    </w:lvl>
  </w:abstractNum>
  <w:abstractNum w:abstractNumId="38">
    <w:nsid w:val="2A487CB0"/>
    <w:multiLevelType w:val="hybridMultilevel"/>
    <w:lvl w:ilvl="0">
      <w:lvlJc w:val="left"/>
      <w:lvlText w:val="%1."/>
      <w:numFmt w:val="decimal"/>
      <w:start w:val="5"/>
    </w:lvl>
  </w:abstractNum>
  <w:abstractNum w:abstractNumId="39">
    <w:nsid w:val="1D4ED43B"/>
    <w:multiLevelType w:val="hybridMultilevel"/>
    <w:lvl w:ilvl="0">
      <w:lvlJc w:val="left"/>
      <w:lvlText w:val="①"/>
      <w:numFmt w:val="bullet"/>
      <w:start w:val="1"/>
    </w:lvl>
  </w:abstractNum>
  <w:abstractNum w:abstractNumId="40">
    <w:nsid w:val="725A06FB"/>
    <w:multiLevelType w:val="hybridMultilevel"/>
    <w:lvl w:ilvl="0">
      <w:lvlJc w:val="left"/>
      <w:lvlText w:val="②"/>
      <w:numFmt w:val="bullet"/>
      <w:start w:val="1"/>
    </w:lvl>
  </w:abstractNum>
  <w:abstractNum w:abstractNumId="41">
    <w:nsid w:val="2CD89A32"/>
    <w:multiLevelType w:val="hybridMultilevel"/>
    <w:lvl w:ilvl="0">
      <w:lvlJc w:val="left"/>
      <w:lvlText w:val="%1."/>
      <w:numFmt w:val="decimal"/>
      <w:start w:val="6"/>
    </w:lvl>
    <w:lvl w:ilvl="1">
      <w:lvlJc w:val="left"/>
      <w:lvlText w:val="(%2)"/>
      <w:numFmt w:val="decimal"/>
      <w:start w:val="1"/>
    </w:lvl>
  </w:abstractNum>
  <w:abstractNum w:abstractNumId="42">
    <w:nsid w:val="57E4CCAF"/>
    <w:multiLevelType w:val="hybridMultilevel"/>
    <w:lvl w:ilvl="0">
      <w:lvlJc w:val="left"/>
      <w:lvlText w:val="%1"/>
      <w:numFmt w:val="decimal"/>
      <w:start w:val="1"/>
    </w:lvl>
    <w:lvl w:ilvl="1">
      <w:lvlJc w:val="left"/>
      <w:lvlText w:val="(%2)"/>
      <w:numFmt w:val="decimal"/>
      <w:start w:val="2"/>
    </w:lvl>
    <w:lvl w:ilvl="2">
      <w:lvlJc w:val="left"/>
      <w:lvlText w:val="-"/>
      <w:numFmt w:val="bullet"/>
      <w:start w:val="1"/>
    </w:lvl>
  </w:abstractNum>
  <w:abstractNum w:abstractNumId="43">
    <w:nsid w:val="7A6D8D3C"/>
    <w:multiLevelType w:val="hybridMultilevel"/>
    <w:lvl w:ilvl="0">
      <w:lvlJc w:val="left"/>
      <w:lvlText w:val="%1."/>
      <w:numFmt w:val="decimal"/>
      <w:start w:val="7"/>
    </w:lvl>
    <w:lvl w:ilvl="1">
      <w:lvlJc w:val="left"/>
      <w:lvlText w:val="(%2)"/>
      <w:numFmt w:val="decimal"/>
      <w:start w:val="1"/>
    </w:lvl>
    <w:lvl w:ilvl="2">
      <w:lvlJc w:val="left"/>
      <w:lvlText w:val="-"/>
      <w:numFmt w:val="bullet"/>
      <w:start w:val="1"/>
    </w:lvl>
  </w:abstractNum>
  <w:abstractNum w:abstractNumId="44">
    <w:nsid w:val="4B588F54"/>
    <w:multiLevelType w:val="hybridMultilevel"/>
    <w:lvl w:ilvl="0">
      <w:lvlJc w:val="left"/>
      <w:lvlText w:val="%1."/>
      <w:numFmt w:val="decimal"/>
      <w:start w:val="9"/>
    </w:lvl>
  </w:abstractNum>
  <w:abstractNum w:abstractNumId="45">
    <w:nsid w:val="542289EC"/>
    <w:multiLevelType w:val="hybridMultilevel"/>
    <w:lvl w:ilvl="0">
      <w:lvlJc w:val="left"/>
      <w:lvlText w:val="%1."/>
      <w:numFmt w:val="decimal"/>
      <w:start w:val="11"/>
    </w:lvl>
  </w:abstractNum>
  <w:abstractNum w:abstractNumId="46">
    <w:nsid w:val="6DE91B1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2026-06-12T15:09:47Z</dcterms:created>
  <dcterms:modified xsi:type="dcterms:W3CDTF">2026-06-12T15:09:47Z</dcterms:modified>
</cp:coreProperties>
</file>