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099-6k_tokyo.htm"/>
      <w:bookmarkStart w:id="1" w:name="ksea03070996k_tokyo"/>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b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001-41181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Tokyo Lifestyle Co.,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Harumi Building, 2-5-9 Kotobashi</w:t>
        <w:br/>
        <w:t>Sumida-ku, Tokyo, 130-0022</w:t>
        <w:br/>
        <w:t>Japan</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of Cash Subscription and Debt-to-Equity Swap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Tokyo Lifestyle Co.,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completed the issuance of an aggregate of 13,503,648 ordinary shares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pursuant to the cash subscription and debt-to-equity swap previously disclosed in the Company’s report on Form 6-K furnished to the U.S. Securities and Exchange Commission on September 21, 2026 (the “</w:t>
      </w:r>
      <w:r>
        <w:rPr>
          <w:rFonts w:ascii="Times New Roman;Times;Serif" w:hAnsi="Times New Roman;Times;Serif"/>
          <w:b/>
          <w:i w:val="false"/>
          <w:caps w:val="false"/>
          <w:smallCaps w:val="false"/>
          <w:sz w:val="20"/>
        </w:rPr>
        <w:t>Prior Report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subscription agreement dated September 10, 2026 between the Company and Mei Kanayama, the Company’s Representative Director and Director (Principal Executive Officer), the Company received JPY58,838,000 in cash and issued 1,396,755 Ordinary Shares to Mr. Kanayama (the “</w:t>
      </w:r>
      <w:r>
        <w:rPr>
          <w:rFonts w:ascii="Times New Roman;Times;Serif" w:hAnsi="Times New Roman;Times;Serif"/>
          <w:b/>
          <w:i w:val="false"/>
          <w:caps w:val="false"/>
          <w:smallCaps w:val="false"/>
          <w:sz w:val="20"/>
        </w:rPr>
        <w:t>Cash Subscription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separate subscription agreement dated September 10, 2026 between the Company and Tokushin G.K. (“</w:t>
      </w:r>
      <w:r>
        <w:rPr>
          <w:rFonts w:ascii="Times New Roman;Times;Serif" w:hAnsi="Times New Roman;Times;Serif"/>
          <w:b/>
          <w:i w:val="false"/>
          <w:caps w:val="false"/>
          <w:smallCaps w:val="false"/>
          <w:sz w:val="20"/>
        </w:rPr>
        <w:t>Tokushin</w:t>
      </w:r>
      <w:r>
        <w:rPr>
          <w:rFonts w:ascii="Times New Roman;Times;Serif" w:hAnsi="Times New Roman;Times;Serif"/>
          <w:b w:val="false"/>
          <w:i w:val="false"/>
          <w:caps w:val="false"/>
          <w:smallCaps w:val="false"/>
          <w:sz w:val="20"/>
        </w:rPr>
        <w:t>”), an entity owned by Mr. Kanayama and his family, Tokushin contributed to the Company its JPY510,000,000 loan principal receivable and the Company issued 12,106,893 Ordinary Shares to Tokushin (the “</w:t>
      </w:r>
      <w:r>
        <w:rPr>
          <w:rFonts w:ascii="Times New Roman;Times;Serif" w:hAnsi="Times New Roman;Times;Serif"/>
          <w:b/>
          <w:i w:val="false"/>
          <w:caps w:val="false"/>
          <w:smallCaps w:val="false"/>
          <w:sz w:val="20"/>
        </w:rPr>
        <w:t>Debt-to-Equity Swap</w:t>
      </w:r>
      <w:r>
        <w:rPr>
          <w:rFonts w:ascii="Times New Roman;Times;Serif" w:hAnsi="Times New Roman;Times;Serif"/>
          <w:b w:val="false"/>
          <w:i w:val="false"/>
          <w:caps w:val="false"/>
          <w:smallCaps w:val="false"/>
          <w:sz w:val="20"/>
        </w:rPr>
        <w:t>”). The loan principal receivable was extinguished in its entirety upon completion of the contribution. The Company received no cash proceeds from the Debt-to-Equity Swap.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for the two issuances was JPY568,838,000, equivalent to approximately US$3.7 million at the exchange rate of JPY153.74 to US$1.00 used for pricing the transactions. Immediately following the issuances, the Company had 55,831,454 Ordinary Shares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Cash Subscription and the Debt-to-Equity Swap were completed pursuant to the agreements furnished as Exhibits 10.2 and 10.3, respectively, to the Prior Report. The descriptions herein are qualified in their entirety by reference to those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the Company issued a press release announcing completion of the transactions. A copy of the press release is furnished as Exhibit 99.1 to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1820"/>
        <w:gridCol w:w="545"/>
        <w:gridCol w:w="3005"/>
      </w:tblGrid>
      <w:tr>
        <w:trPr/>
        <w:tc>
          <w:tcPr>
            <w:tcW w:w="1820"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Tokyo Lifestyle Co., Ltd.</w:t>
            </w:r>
          </w:p>
        </w:tc>
      </w:tr>
      <w:tr>
        <w:trPr/>
        <w:tc>
          <w:tcPr>
            <w:tcW w:w="1820" w:type="dxa"/>
            <w:tcBorders/>
            <w:vAlign w:val="center"/>
          </w:tcPr>
          <w:p>
            <w:pPr>
              <w:pStyle w:val="TableContents"/>
              <w:bidi w:val="0"/>
              <w:spacing w:before="0" w:after="283"/>
              <w:jc w:val="left"/>
              <w:rPr/>
            </w:pPr>
            <w:r>
              <w:rPr/>
              <w:t> </w:t>
            </w:r>
          </w:p>
        </w:tc>
        <w:tc>
          <w:tcPr>
            <w:tcW w:w="3550"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1,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Mei Kanayama</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Mei Kanayama</w:t>
            </w:r>
          </w:p>
        </w:tc>
      </w:tr>
      <w:tr>
        <w:trPr/>
        <w:tc>
          <w:tcPr>
            <w:tcW w:w="18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Representative Director and Director</w:t>
              <w:b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3"/>
        <w:gridCol w:w="60"/>
        <w:gridCol w:w="9252"/>
      </w:tblGrid>
      <w:tr>
        <w:trPr/>
        <w:tc>
          <w:tcPr>
            <w:tcW w:w="89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252"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89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2" w:type="dxa"/>
            <w:tcBorders/>
            <w:shd w:fill="CCEEFF" w:val="clear"/>
            <w:tcMar>
              <w:bottom w:w="0" w:type="dxa"/>
            </w:tcMar>
            <w:vAlign w:val="center"/>
          </w:tcPr>
          <w:p>
            <w:pPr>
              <w:pStyle w:val="TableContents"/>
              <w:bidi w:val="0"/>
              <w:spacing w:before="0" w:after="283"/>
              <w:jc w:val="both"/>
              <w:rPr/>
            </w:pPr>
            <w:hyperlink w:anchor="ea030709901ex99-1.htm">
              <w:r>
                <w:rPr>
                  <w:rStyle w:val="InternetLink"/>
                  <w:rFonts w:ascii="Times New Roman;Times;Serif" w:hAnsi="Times New Roman;Times;Serif"/>
                  <w:sz w:val="20"/>
                </w:rPr>
                <w:t>Press Release dated September 29, 2026, “Tokyo Lifestyle Co., Ltd. Strengthens Capital Structure Through Cash Investment and Debt-to-Equity Conversion”</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rFonts w:ascii="Times New Roman;Times;Serif" w:hAnsi="Times New Roman;Times;Serif"/>
          <w:b/>
          <w:sz w:val="20"/>
        </w:rPr>
      </w:pPr>
      <w:bookmarkStart w:id="2" w:name="ea030709901ex99-1.htm"/>
      <w:bookmarkStart w:id="3" w:name="ksea030709901ex991"/>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Tokyo Lifestyle Co., Ltd. Strengthens Capital Structure Through Cash Investment and Debt-to-Equity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Japan, September 29, 2026 (GLOBE NEWSWIRE) -- Tokyo Lifestyle Co., Ltd. (“Tokyo Lifestyle” or the “Company”) (Nasdaq: TKLF), a retailer and wholesaler of Japanese beauty and health products, sundry products, luxury products, electronic products, collectible cards, trendy toys as well as other products in Hong Kong, Japan, North America, Thailand, Vietnam, the United Kingdom and Australia, today announced that on September 10, 2026, its board of directors (the “Board”) approved two equity transactions designed to strengthen the Company’s capital structure. The transactions include a direct cash investment by the Company’s Representative Director and the conversion of outstanding shareholder-related debt into equity. Both issuances are scheduled to close on September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cash subscription agreement (the “Cash Subscription Agreement”) entered into between Tokyo Lifestyle and Mr. Kanayama, the Company’s Representative Director and Director (Principal Executive Officer), on September 10, 2026, Mr. Kanayama has agreed to subscribe for 1,396,755 Ordinary Shares of the Company (the “Ordinary Shares”) for an aggregate cash consideration of JPY58,838,000 (approximately US$0.38 million). Payment for the cash subscription (the “Cash Subscription”) is scheduled for September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separate subscription agreement (the “DES Subscription Agreement”) entered into with Tokushin G.K. (“Tokushin”), an entity owned by Mr. Kanayama and his family, on the same date, Tokushin has agreed to contribute its JPY510,000,000 (approximately US$3.32 million) loan principal receivable from the Company in exchange for 12,106,893 Ordinary Shares (the “Debt-to-Equity Swap”). The loan principal receivable will be extinguished in full upon completion of the contribution. The Debt-to-Equity Swap is scheduled to close on September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Debt-to-Equity Swap, the JPY510,000,000 loan principal will be extinguished in full, reducing the Company’s outstanding debt and associated interest burden. The Company believes that by settling the loan principal through equity rather than cash repayment, the transaction will allow the Company to preserve cash resources for business development and other corporate purposes. Together with the Cash Subscription, the transactions are expected to strengthen the Company’s capital base, optimize its balance sheet and enhance its financial flexibility.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consideration for the two issuances is JPY568,838,000, equivalent to approximately US$3.7 million based on the exchange rate of JPY153.74 to US$1.00 used for pricing the transactions. The pricing benchmark was US$0.274 per Ordinary Share, equivalent to US$2.74 per American depositary share (“ADS”), with each ADS representing 10 Ordinary Shares. The number of Ordinary Shares issued in each transaction was rounded down to the nearest whole share. The securities to be issued are Ordinary Shares, rather than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Company’s press release dated March 5, 2026, the Company and Tokushin entered into a subordinated loan agreement dated November 27, 2025 (the “Original Loan Agreement”), which was executed by both parties on February 24, 2026 and provided for a loan disbursement date of February 1, 2026. The Original Loan Agreement provided for an unsecured loan of JPY300,000,000 bearing a fixed annual interest rate of 2.0%, with interest payable monthly and principal originally repayable on January 31,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Debt-to-Equity Swap, the Company and Tokushin entered into an amendment to the Original Loan Agreement dated September 10, 2026 (the “Amendment”). The Amendment increases the loan principal amount to JPY510,000,000, provides for an additional advance of JPY210,000,000 on September 10, 2026, and changes the repayment date to September 10, 2026. The Amendment also permits the loan principal receivable to be contributed to the Company in exchange for newly issued shares, with the loan principal to be extinguished upon completion of the contribution. To the extent necessary to implement the Debt-to-Equity Swap, the subordination provisions and restrictions on performance under Article 3 of the Original Loan Agreement do not apply. Except as amended, the Original Loan Agreement remains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approved the Amendment and the terms of the two share issuances at its meetings on September 10, 2026. Mr. Kanayama did not participate in the deliberations or voting on the relevant matters due to his interest in the transactions. The proposals were unanimously approved by the other directors entitled to vote. The Company’s three corporate auditors also unanimously expressed their opinion that the terms of the share issuances did not constitute a favorable issuance under Japanese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10, 2026, the Company published an electronic public notice (the “Public Notice”) in Japan setting forth the approved issuance terms. English translations of the Public Notice, the Amendment, the Cash Subscription Agreement and the DES Subscription Agreement were furnished as exhibits to a Form 6-K filed with the U.S. Securities and Exchange Commission on September 21,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Mei Kanayama commented: “These transactions reflect my family’s and my continued commitment to Tokyo Lifestyle. Through the Cash Subscription, I am investing additional personal capital in the Company, while Tokushin is converting its JPY510 million loan principal into equity. We believe these actions will support the Company’s long-term development by strengthening its capital base and improving financial flexibility. We remain focused on disciplined execution and creating long-term value for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Tokyo Lifestyle Co.,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Headquartered in Tokyo, Japan, Tokyo Lifestyle Co., Ltd. (formerly known as Yoshitsu Co., Ltd) is a retailer and wholesaler of Japanese beauty and health products, sundry products, luxury products, electronic products, collectible cards, trendy toys, and other products in Hong Kong, Japan, North America, Thailand, Vietnam, the United Kingdom and Australia. The Company offers various beauty products (including cosmetics, skincare, fragrance, and body care products), health products (including over-the-counter drugs, nutritional supplements, and medical supplies and devices), sundry products (including home goods), collectible cards and trendy toys (including Pokémon cards, BE@RBRICK and other trendy products) and other products (including food and alcoholic beverages). The Company currently sells its products through directly-operated physical stores, through online stores, and to franchise stores and wholesale customers. For more information, please visit the Company’s website at https://www.ystbek.co.jp/irlibrary/.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in this press release are forward-looking statements, within the meaning of Section 21E of the Securities Exchange Act of 1934, as amended, and as defined in the U.S. Private Securities Litigation Reform Act of 1995.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annual report and in its other filings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Tokyo Lifestyle Co.,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Department</w:t>
        <w:br/>
        <w:t>Email: ir@ystbek.co.jp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Ascent Investor Relations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Tina Xiao</w:t>
        <w:br/>
      </w:r>
      <w:r>
        <w:rPr>
          <w:rFonts w:ascii="Times New Roman;Times;Serif" w:hAnsi="Times New Roman;Times;Serif"/>
          <w:b w:val="false"/>
          <w:i/>
          <w:caps w:val="false"/>
          <w:smallCaps w:val="false"/>
          <w:sz w:val="20"/>
        </w:rPr>
        <w:t>President</w:t>
      </w:r>
      <w:r>
        <w:rPr>
          <w:rFonts w:ascii="Times New Roman;Times;Serif" w:hAnsi="Times New Roman;Times;Serif"/>
          <w:b w:val="false"/>
          <w:i w:val="false"/>
          <w:caps w:val="false"/>
          <w:smallCaps w:val="false"/>
          <w:sz w:val="20"/>
        </w:rPr>
        <w:br/>
        <w:t>Phone: 1-646-932-7242</w:t>
        <w:br/>
        <w:t>Email: investors@ascent-ir.com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1676</Words>
  <Characters>10089</Characters>
  <CharactersWithSpaces>11789</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